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2B6" w14:textId="77B96243" w:rsidR="004B028F" w:rsidRPr="0093503A" w:rsidRDefault="004B028F" w:rsidP="004B028F">
      <w:pPr>
        <w:tabs>
          <w:tab w:val="right" w:pos="9072"/>
        </w:tabs>
        <w:rPr>
          <w:rFonts w:asciiTheme="majorHAnsi" w:hAnsiTheme="majorHAnsi" w:cstheme="majorHAnsi"/>
          <w:sz w:val="26"/>
          <w:szCs w:val="26"/>
        </w:rPr>
      </w:pPr>
      <w:r w:rsidRPr="0093503A">
        <w:rPr>
          <w:rFonts w:asciiTheme="majorHAnsi" w:hAnsiTheme="majorHAnsi" w:cstheme="majorHAnsi"/>
          <w:b/>
          <w:sz w:val="26"/>
          <w:szCs w:val="26"/>
        </w:rPr>
        <w:t>Németh Judit</w:t>
      </w:r>
      <w:r w:rsidRPr="0093503A">
        <w:rPr>
          <w:rFonts w:asciiTheme="majorHAnsi" w:hAnsiTheme="majorHAnsi" w:cstheme="majorHAnsi"/>
          <w:sz w:val="26"/>
          <w:szCs w:val="26"/>
        </w:rPr>
        <w:tab/>
      </w:r>
      <w:r w:rsidRPr="0093503A">
        <w:rPr>
          <w:rFonts w:asciiTheme="majorHAnsi" w:hAnsiTheme="majorHAnsi" w:cstheme="majorHAnsi"/>
          <w:b/>
          <w:sz w:val="26"/>
          <w:szCs w:val="26"/>
        </w:rPr>
        <w:t>Iktatószám:</w:t>
      </w:r>
      <w:r w:rsidRPr="0093503A">
        <w:rPr>
          <w:rFonts w:asciiTheme="majorHAnsi" w:hAnsiTheme="majorHAnsi" w:cstheme="majorHAnsi"/>
          <w:sz w:val="26"/>
          <w:szCs w:val="26"/>
        </w:rPr>
        <w:t xml:space="preserve"> </w:t>
      </w:r>
      <w:r w:rsidR="00CF3B74" w:rsidRPr="00CF3B74">
        <w:rPr>
          <w:rFonts w:asciiTheme="majorHAnsi" w:hAnsiTheme="majorHAnsi" w:cstheme="majorHAnsi"/>
          <w:b/>
          <w:bCs/>
          <w:sz w:val="26"/>
          <w:szCs w:val="26"/>
        </w:rPr>
        <w:t>PTE/82542-2/2022</w:t>
      </w:r>
    </w:p>
    <w:p w14:paraId="2B591160" w14:textId="77777777" w:rsidR="004B028F" w:rsidRPr="0093503A" w:rsidRDefault="004B028F" w:rsidP="004B028F">
      <w:pPr>
        <w:rPr>
          <w:rFonts w:asciiTheme="majorHAnsi" w:hAnsiTheme="majorHAnsi" w:cstheme="majorHAnsi"/>
          <w:sz w:val="26"/>
          <w:szCs w:val="26"/>
        </w:rPr>
      </w:pPr>
      <w:r w:rsidRPr="0093503A">
        <w:rPr>
          <w:rFonts w:asciiTheme="majorHAnsi" w:hAnsiTheme="majorHAnsi" w:cstheme="majorHAnsi"/>
          <w:sz w:val="26"/>
          <w:szCs w:val="26"/>
        </w:rPr>
        <w:t>intézményi Erasmus+ koordinátor</w:t>
      </w:r>
      <w:r w:rsidRPr="0093503A">
        <w:rPr>
          <w:rFonts w:asciiTheme="majorHAnsi" w:hAnsiTheme="majorHAnsi" w:cstheme="majorHAnsi"/>
          <w:sz w:val="26"/>
          <w:szCs w:val="26"/>
        </w:rPr>
        <w:br/>
      </w:r>
    </w:p>
    <w:p w14:paraId="12FC60E0" w14:textId="77777777" w:rsidR="004B028F" w:rsidRPr="0093503A" w:rsidRDefault="004B028F" w:rsidP="004B028F">
      <w:pPr>
        <w:rPr>
          <w:rFonts w:asciiTheme="majorHAnsi" w:hAnsiTheme="majorHAnsi" w:cstheme="majorHAnsi"/>
          <w:sz w:val="26"/>
          <w:szCs w:val="26"/>
        </w:rPr>
      </w:pPr>
      <w:r w:rsidRPr="0093503A">
        <w:rPr>
          <w:rFonts w:asciiTheme="majorHAnsi" w:hAnsiTheme="majorHAnsi" w:cstheme="majorHAnsi"/>
          <w:sz w:val="26"/>
          <w:szCs w:val="26"/>
        </w:rPr>
        <w:t>Rektori Kabinet</w:t>
      </w:r>
      <w:r w:rsidRPr="0093503A">
        <w:rPr>
          <w:rFonts w:asciiTheme="majorHAnsi" w:hAnsiTheme="majorHAnsi" w:cstheme="majorHAnsi"/>
          <w:sz w:val="26"/>
          <w:szCs w:val="26"/>
        </w:rPr>
        <w:br/>
        <w:t>Nemzetközi Igazgatóság</w:t>
      </w:r>
    </w:p>
    <w:p w14:paraId="771D3269" w14:textId="77777777" w:rsidR="004B028F" w:rsidRPr="0093503A" w:rsidRDefault="004B028F" w:rsidP="004B028F">
      <w:pPr>
        <w:rPr>
          <w:rFonts w:asciiTheme="majorHAnsi" w:hAnsiTheme="majorHAnsi" w:cstheme="majorHAnsi"/>
          <w:sz w:val="26"/>
          <w:szCs w:val="26"/>
        </w:rPr>
      </w:pPr>
      <w:r w:rsidRPr="0093503A">
        <w:rPr>
          <w:rFonts w:asciiTheme="majorHAnsi" w:hAnsiTheme="majorHAnsi" w:cstheme="majorHAnsi"/>
          <w:sz w:val="26"/>
          <w:szCs w:val="26"/>
        </w:rPr>
        <w:t>Pécs, Vasvári Pál utca 4.</w:t>
      </w:r>
    </w:p>
    <w:p w14:paraId="3623D976" w14:textId="77777777" w:rsidR="004B028F" w:rsidRPr="0093503A" w:rsidRDefault="004B028F" w:rsidP="004B028F">
      <w:pPr>
        <w:rPr>
          <w:rFonts w:asciiTheme="majorHAnsi" w:hAnsiTheme="majorHAnsi" w:cstheme="majorHAnsi"/>
          <w:sz w:val="26"/>
          <w:szCs w:val="26"/>
        </w:rPr>
      </w:pPr>
      <w:r w:rsidRPr="0093503A">
        <w:rPr>
          <w:rFonts w:asciiTheme="majorHAnsi" w:hAnsiTheme="majorHAnsi" w:cstheme="majorHAnsi"/>
          <w:sz w:val="26"/>
          <w:szCs w:val="26"/>
        </w:rPr>
        <w:t>7622</w:t>
      </w:r>
    </w:p>
    <w:p w14:paraId="185A4C53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5B2ED86E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2F31CA5B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242CC918" w14:textId="77777777" w:rsidR="004B028F" w:rsidRPr="0093503A" w:rsidRDefault="004B028F" w:rsidP="004B028F">
      <w:pPr>
        <w:rPr>
          <w:rFonts w:asciiTheme="majorHAnsi" w:hAnsiTheme="majorHAnsi" w:cstheme="majorHAnsi"/>
          <w:b/>
          <w:sz w:val="28"/>
          <w:szCs w:val="28"/>
        </w:rPr>
      </w:pPr>
      <w:r w:rsidRPr="0093503A">
        <w:rPr>
          <w:rFonts w:asciiTheme="majorHAnsi" w:hAnsiTheme="majorHAnsi" w:cstheme="majorHAnsi"/>
          <w:b/>
          <w:sz w:val="28"/>
          <w:szCs w:val="28"/>
        </w:rPr>
        <w:t>Tisztelt Németh Judit!</w:t>
      </w:r>
    </w:p>
    <w:p w14:paraId="652B74DC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4F2EFF47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59041B16" w14:textId="63CD9913" w:rsidR="004B028F" w:rsidRPr="0093503A" w:rsidRDefault="004B028F" w:rsidP="004B028F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3503A">
        <w:rPr>
          <w:rFonts w:asciiTheme="majorHAnsi" w:hAnsiTheme="majorHAnsi" w:cstheme="majorHAnsi"/>
          <w:sz w:val="28"/>
          <w:szCs w:val="28"/>
        </w:rPr>
        <w:t xml:space="preserve">Mellékelten küldöm Önnek a PTE Állam- és Jogtudományi Karának </w:t>
      </w:r>
      <w:r w:rsidR="00517463" w:rsidRPr="0093503A">
        <w:rPr>
          <w:rFonts w:asciiTheme="majorHAnsi" w:hAnsiTheme="majorHAnsi" w:cstheme="majorHAnsi"/>
          <w:b/>
          <w:bCs/>
          <w:sz w:val="28"/>
          <w:szCs w:val="28"/>
        </w:rPr>
        <w:t>2023. március 6 - 2023. július 28.</w:t>
      </w:r>
      <w:r w:rsidRPr="0093503A">
        <w:rPr>
          <w:rFonts w:asciiTheme="majorHAnsi" w:hAnsiTheme="majorHAnsi" w:cstheme="majorHAnsi"/>
          <w:sz w:val="28"/>
          <w:szCs w:val="28"/>
        </w:rPr>
        <w:t xml:space="preserve"> közötti időszakra vonatkozó és jóváhagyott ERASMUS+ oktatói mobilitás program pályázati kiírását.</w:t>
      </w:r>
    </w:p>
    <w:p w14:paraId="0D900219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68AD2A28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56373FC2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2095DFA7" w14:textId="43A0EDCA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  <w:r w:rsidRPr="0093503A">
        <w:rPr>
          <w:rFonts w:asciiTheme="majorHAnsi" w:hAnsiTheme="majorHAnsi" w:cstheme="majorHAnsi"/>
          <w:sz w:val="28"/>
          <w:szCs w:val="28"/>
        </w:rPr>
        <w:t xml:space="preserve">Pécs, 2022. </w:t>
      </w:r>
      <w:r w:rsidR="00517463" w:rsidRPr="0093503A">
        <w:rPr>
          <w:rFonts w:asciiTheme="majorHAnsi" w:hAnsiTheme="majorHAnsi" w:cstheme="majorHAnsi"/>
          <w:sz w:val="28"/>
          <w:szCs w:val="28"/>
        </w:rPr>
        <w:t>november 30.</w:t>
      </w:r>
    </w:p>
    <w:p w14:paraId="30B1CBE8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2FE84CA3" w14:textId="77777777" w:rsidR="004B028F" w:rsidRPr="0093503A" w:rsidRDefault="004B028F" w:rsidP="004B028F">
      <w:pPr>
        <w:rPr>
          <w:rFonts w:asciiTheme="majorHAnsi" w:hAnsiTheme="majorHAnsi" w:cstheme="majorHAnsi"/>
          <w:sz w:val="28"/>
          <w:szCs w:val="28"/>
        </w:rPr>
      </w:pPr>
    </w:p>
    <w:p w14:paraId="7DD0DC62" w14:textId="77777777" w:rsidR="004B028F" w:rsidRPr="0093503A" w:rsidRDefault="004B028F" w:rsidP="004B028F">
      <w:pPr>
        <w:tabs>
          <w:tab w:val="left" w:pos="3402"/>
          <w:tab w:val="center" w:pos="5670"/>
        </w:tabs>
        <w:ind w:left="3969"/>
        <w:rPr>
          <w:rFonts w:asciiTheme="majorHAnsi" w:hAnsiTheme="majorHAnsi" w:cstheme="majorHAnsi"/>
          <w:sz w:val="28"/>
          <w:szCs w:val="28"/>
        </w:rPr>
      </w:pPr>
      <w:r w:rsidRPr="0093503A">
        <w:rPr>
          <w:rFonts w:asciiTheme="majorHAnsi" w:hAnsiTheme="majorHAnsi" w:cstheme="majorHAnsi"/>
          <w:sz w:val="28"/>
          <w:szCs w:val="28"/>
        </w:rPr>
        <w:t>Tisztelettel:</w:t>
      </w:r>
    </w:p>
    <w:p w14:paraId="50A38D44" w14:textId="77777777" w:rsidR="004B028F" w:rsidRPr="0093503A" w:rsidRDefault="004B028F" w:rsidP="004B028F">
      <w:pPr>
        <w:tabs>
          <w:tab w:val="left" w:pos="3402"/>
          <w:tab w:val="center" w:pos="5670"/>
        </w:tabs>
        <w:rPr>
          <w:rFonts w:asciiTheme="majorHAnsi" w:hAnsiTheme="majorHAnsi" w:cstheme="majorHAnsi"/>
          <w:sz w:val="28"/>
          <w:szCs w:val="28"/>
        </w:rPr>
      </w:pPr>
    </w:p>
    <w:p w14:paraId="2D6F58AC" w14:textId="18C1E051" w:rsidR="004B028F" w:rsidRPr="0093503A" w:rsidRDefault="004D04DB" w:rsidP="004B028F">
      <w:pPr>
        <w:tabs>
          <w:tab w:val="left" w:pos="3402"/>
          <w:tab w:val="center" w:pos="5670"/>
        </w:tabs>
        <w:ind w:left="48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503A">
        <w:rPr>
          <w:rFonts w:asciiTheme="majorHAnsi" w:hAnsiTheme="majorHAnsi" w:cstheme="majorHAnsi"/>
          <w:b/>
          <w:sz w:val="28"/>
          <w:szCs w:val="28"/>
        </w:rPr>
        <w:t xml:space="preserve">Prof. </w:t>
      </w:r>
      <w:r w:rsidR="004B028F" w:rsidRPr="0093503A">
        <w:rPr>
          <w:rFonts w:asciiTheme="majorHAnsi" w:hAnsiTheme="majorHAnsi" w:cstheme="majorHAnsi"/>
          <w:b/>
          <w:sz w:val="28"/>
          <w:szCs w:val="28"/>
        </w:rPr>
        <w:t>Dr. Fábián Adrián</w:t>
      </w:r>
    </w:p>
    <w:p w14:paraId="23A998B3" w14:textId="77777777" w:rsidR="004B028F" w:rsidRPr="0093503A" w:rsidRDefault="004B028F" w:rsidP="004B028F">
      <w:pPr>
        <w:tabs>
          <w:tab w:val="left" w:pos="3402"/>
          <w:tab w:val="center" w:pos="5670"/>
        </w:tabs>
        <w:ind w:left="4820"/>
        <w:jc w:val="center"/>
        <w:rPr>
          <w:rFonts w:asciiTheme="majorHAnsi" w:hAnsiTheme="majorHAnsi" w:cstheme="majorHAnsi"/>
          <w:sz w:val="28"/>
          <w:szCs w:val="28"/>
        </w:rPr>
      </w:pPr>
      <w:r w:rsidRPr="0093503A">
        <w:rPr>
          <w:rFonts w:asciiTheme="majorHAnsi" w:hAnsiTheme="majorHAnsi" w:cstheme="majorHAnsi"/>
          <w:sz w:val="28"/>
          <w:szCs w:val="28"/>
        </w:rPr>
        <w:t>dékán</w:t>
      </w:r>
    </w:p>
    <w:p w14:paraId="6296BF3A" w14:textId="3C53D92E" w:rsidR="004B028F" w:rsidRPr="0093503A" w:rsidRDefault="004B028F" w:rsidP="004B028F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93503A">
        <w:rPr>
          <w:rFonts w:asciiTheme="majorHAnsi" w:eastAsia="Times New Roman" w:hAnsiTheme="majorHAnsi" w:cstheme="majorHAnsi"/>
          <w:sz w:val="28"/>
          <w:szCs w:val="28"/>
          <w:lang w:eastAsia="en-US"/>
        </w:rPr>
        <w:br w:type="page"/>
      </w:r>
    </w:p>
    <w:p w14:paraId="10DE50E8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lastRenderedPageBreak/>
        <w:t>PÁLYÁZATI FELHÍVÁS</w:t>
      </w:r>
    </w:p>
    <w:p w14:paraId="3BD28390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93503A">
        <w:rPr>
          <w:rFonts w:asciiTheme="majorHAnsi" w:hAnsiTheme="majorHAnsi" w:cstheme="majorHAnsi"/>
          <w:b/>
          <w:bCs/>
        </w:rPr>
        <w:t>A Pécsi Tudományegyetem Állam-és Jogtudományi Kara pályázatot ír ki 2022/2023 tanév II. szemeszterére Erasmus+ oktatói mobilitási programban való részvételre.</w:t>
      </w:r>
    </w:p>
    <w:p w14:paraId="160DF665" w14:textId="7F5320F5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bookmarkStart w:id="0" w:name="_Hlk120612966"/>
      <w:r w:rsidRPr="0093503A">
        <w:rPr>
          <w:rFonts w:asciiTheme="majorHAnsi" w:hAnsiTheme="majorHAnsi" w:cstheme="majorHAnsi"/>
          <w:b/>
          <w:bCs/>
          <w:color w:val="003399"/>
        </w:rPr>
        <w:t>2023. március 6</w:t>
      </w:r>
      <w:r w:rsidR="0094355A">
        <w:rPr>
          <w:rFonts w:asciiTheme="majorHAnsi" w:hAnsiTheme="majorHAnsi" w:cstheme="majorHAnsi"/>
          <w:b/>
          <w:bCs/>
          <w:color w:val="003399"/>
        </w:rPr>
        <w:t xml:space="preserve"> </w:t>
      </w:r>
      <w:r w:rsidRPr="0093503A">
        <w:rPr>
          <w:rFonts w:asciiTheme="majorHAnsi" w:hAnsiTheme="majorHAnsi" w:cstheme="majorHAnsi"/>
          <w:b/>
          <w:bCs/>
          <w:color w:val="003399"/>
        </w:rPr>
        <w:t>- 2023. július 28.</w:t>
      </w:r>
      <w:r w:rsidRPr="0093503A">
        <w:rPr>
          <w:rFonts w:asciiTheme="majorHAnsi" w:hAnsiTheme="majorHAnsi" w:cstheme="majorHAnsi"/>
          <w:b/>
          <w:bCs/>
        </w:rPr>
        <w:t xml:space="preserve"> </w:t>
      </w:r>
      <w:bookmarkEnd w:id="0"/>
      <w:r w:rsidRPr="0093503A">
        <w:rPr>
          <w:rFonts w:asciiTheme="majorHAnsi" w:hAnsiTheme="majorHAnsi" w:cstheme="majorHAnsi"/>
          <w:b/>
          <w:bCs/>
        </w:rPr>
        <w:t>közötti időszakra</w:t>
      </w:r>
    </w:p>
    <w:p w14:paraId="30B23451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t>A pályázat célja</w:t>
      </w:r>
    </w:p>
    <w:p w14:paraId="3F8DE709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41E5156B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</w:rPr>
      </w:pPr>
      <w:r w:rsidRPr="0093503A">
        <w:rPr>
          <w:rFonts w:asciiTheme="majorHAnsi" w:hAnsiTheme="majorHAnsi" w:cstheme="majorHAnsi"/>
          <w:i/>
        </w:rPr>
        <w:t>Kutatás és konferencián való részvétel ezen a pályázaton nem támogatható!</w:t>
      </w:r>
    </w:p>
    <w:p w14:paraId="0C7378D9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 </w:t>
      </w:r>
    </w:p>
    <w:p w14:paraId="44EFE18B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t>A pályázat tárgya</w:t>
      </w:r>
    </w:p>
    <w:p w14:paraId="41AC5AA0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Az Erasmus+ program keretében a pályázaton nyertes oktatók a Pécsi Tudományegyetemmel 2022/2023-as tanévre érvényes kétoldalú megállapodással rendelkező ERASMUS+ programország-</w:t>
      </w:r>
      <w:proofErr w:type="spellStart"/>
      <w:r w:rsidRPr="0093503A">
        <w:rPr>
          <w:rFonts w:asciiTheme="majorHAnsi" w:hAnsiTheme="majorHAnsi" w:cstheme="majorHAnsi"/>
        </w:rPr>
        <w:t>beli</w:t>
      </w:r>
      <w:proofErr w:type="spellEnd"/>
      <w:r w:rsidRPr="0093503A">
        <w:rPr>
          <w:rFonts w:asciiTheme="majorHAnsi" w:hAnsiTheme="majorHAnsi" w:cstheme="majorHAnsi"/>
        </w:rPr>
        <w:t xml:space="preserve"> felsőoktatási intézményében ösztöndíjjal folytathatnak oktatási tevékenységet. A vendégoktatás időtartama nem lehet kevesebb 8 tanóránál (8 </w:t>
      </w:r>
      <w:proofErr w:type="spellStart"/>
      <w:r w:rsidRPr="0093503A">
        <w:rPr>
          <w:rFonts w:asciiTheme="majorHAnsi" w:hAnsiTheme="majorHAnsi" w:cstheme="majorHAnsi"/>
        </w:rPr>
        <w:t>hours</w:t>
      </w:r>
      <w:proofErr w:type="spellEnd"/>
      <w:r w:rsidRPr="0093503A">
        <w:rPr>
          <w:rFonts w:asciiTheme="majorHAnsi" w:hAnsiTheme="majorHAnsi" w:cstheme="majorHAnsi"/>
        </w:rPr>
        <w:t xml:space="preserve">), és nem lehet hosszabb 5 </w:t>
      </w:r>
      <w:proofErr w:type="gramStart"/>
      <w:r w:rsidRPr="0093503A">
        <w:rPr>
          <w:rFonts w:asciiTheme="majorHAnsi" w:hAnsiTheme="majorHAnsi" w:cstheme="majorHAnsi"/>
        </w:rPr>
        <w:t>munkanapnál  (</w:t>
      </w:r>
      <w:proofErr w:type="gramEnd"/>
      <w:r w:rsidRPr="0093503A">
        <w:rPr>
          <w:rFonts w:asciiTheme="majorHAnsi" w:hAnsiTheme="majorHAnsi" w:cstheme="majorHAnsi"/>
        </w:rPr>
        <w:t xml:space="preserve">akár 2 napos mobilitás is megvalósítható). </w:t>
      </w:r>
    </w:p>
    <w:p w14:paraId="0C1D90C2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54713C7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t>Mire pályázhatnak az oktatók?</w:t>
      </w:r>
    </w:p>
    <w:p w14:paraId="72CEA70F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7CEBEE9F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22E337D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417A0146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08FC37C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264B297D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Helyszín: nem lehet a küldő intézmény országa és a lakóhely szerinti ország sem.</w:t>
      </w:r>
    </w:p>
    <w:p w14:paraId="2C837827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Az oktató a pályázatában benyújtott, az érintett felek által jóváhagyott és aláírásukkal elfogadott egyéni munkaprogramot követi.</w:t>
      </w:r>
    </w:p>
    <w:p w14:paraId="4AA54A0B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2167055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t>Kik nyújthatnak be pályázatot?</w:t>
      </w:r>
    </w:p>
    <w:p w14:paraId="71E0576D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Az vehet részt az Erasmus+ programban:</w:t>
      </w:r>
    </w:p>
    <w:p w14:paraId="4686D5AD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 xml:space="preserve">•      aki magyar állampolgár (vagy </w:t>
      </w:r>
      <w:proofErr w:type="gramStart"/>
      <w:r w:rsidRPr="0093503A">
        <w:rPr>
          <w:rFonts w:asciiTheme="majorHAnsi" w:hAnsiTheme="majorHAnsi" w:cstheme="majorHAnsi"/>
        </w:rPr>
        <w:t>huzamos tartózkodási engedéllyel</w:t>
      </w:r>
      <w:proofErr w:type="gramEnd"/>
      <w:r w:rsidRPr="0093503A">
        <w:rPr>
          <w:rFonts w:asciiTheme="majorHAnsi" w:hAnsiTheme="majorHAnsi" w:cstheme="majorHAnsi"/>
        </w:rPr>
        <w:t xml:space="preserve"> vagy menekültként tartózkodik Magyarországon);</w:t>
      </w:r>
    </w:p>
    <w:p w14:paraId="3DC02909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•      aki főállású, félállású vagy óraadó oktatója az intézménynek;</w:t>
      </w:r>
    </w:p>
    <w:p w14:paraId="0FF31A49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•      akinek tanszéke / intézete saját tématerületén érvényes Erasmus+ együttműködési megállapodással rendelkezik;</w:t>
      </w:r>
    </w:p>
    <w:p w14:paraId="7C441817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 </w:t>
      </w:r>
      <w:r w:rsidRPr="0093503A">
        <w:rPr>
          <w:rFonts w:asciiTheme="majorHAnsi" w:hAnsiTheme="majorHAnsi" w:cstheme="majorHAnsi"/>
          <w:b/>
          <w:bCs/>
        </w:rPr>
        <w:t>A pályázat benyújtásának határideje és módja</w:t>
      </w:r>
    </w:p>
    <w:p w14:paraId="5B5D25B0" w14:textId="1C08DD3C" w:rsidR="00517463" w:rsidRPr="0093503A" w:rsidRDefault="00DB0B3D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3399"/>
        </w:rPr>
      </w:pPr>
      <w:r w:rsidRPr="0093503A">
        <w:rPr>
          <w:rFonts w:asciiTheme="majorHAnsi" w:hAnsiTheme="majorHAnsi" w:cstheme="majorHAnsi"/>
        </w:rPr>
        <w:t xml:space="preserve">A pályázatot a Dékáni Titkárságon (7622 Pécs, 48-as tér 1. I. em. 108.) </w:t>
      </w:r>
      <w:r w:rsidR="00517463" w:rsidRPr="0093503A">
        <w:rPr>
          <w:rFonts w:asciiTheme="majorHAnsi" w:hAnsiTheme="majorHAnsi" w:cstheme="majorHAnsi"/>
        </w:rPr>
        <w:t xml:space="preserve">kell benyújtani, legkésőbb </w:t>
      </w:r>
      <w:r w:rsidR="00517463" w:rsidRPr="0093503A">
        <w:rPr>
          <w:rFonts w:asciiTheme="majorHAnsi" w:hAnsiTheme="majorHAnsi" w:cstheme="majorHAnsi"/>
          <w:b/>
          <w:bCs/>
          <w:color w:val="003399"/>
        </w:rPr>
        <w:t>2023. január 23 -ig.</w:t>
      </w:r>
    </w:p>
    <w:p w14:paraId="05BC189C" w14:textId="77777777" w:rsidR="00DB0B3D" w:rsidRPr="0093503A" w:rsidRDefault="00DB0B3D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F7BAA2E" w14:textId="6360702B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u w:val="single"/>
        </w:rPr>
        <w:lastRenderedPageBreak/>
        <w:t>A pályázat részeként benyújtandó dokumentumok</w:t>
      </w:r>
    </w:p>
    <w:p w14:paraId="663C66FF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Egy nyomtatott példányban kell beadni az alábbiakat:</w:t>
      </w:r>
    </w:p>
    <w:p w14:paraId="36483EFF" w14:textId="77777777" w:rsidR="00517463" w:rsidRPr="0093503A" w:rsidRDefault="00517463" w:rsidP="0051746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kitöltött, eredetiben aláírt pályázati űrlap;</w:t>
      </w:r>
    </w:p>
    <w:p w14:paraId="0CA587DE" w14:textId="77777777" w:rsidR="00517463" w:rsidRPr="0093503A" w:rsidRDefault="00517463" w:rsidP="00517463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 xml:space="preserve">a </w:t>
      </w:r>
      <w:r w:rsidRPr="0093503A">
        <w:rPr>
          <w:rFonts w:asciiTheme="majorHAnsi" w:hAnsiTheme="majorHAnsi" w:cstheme="majorHAnsi"/>
          <w:b/>
          <w:color w:val="003399"/>
        </w:rPr>
        <w:t>három fél által aláírt pontos időtartamra szóló</w:t>
      </w:r>
      <w:r w:rsidRPr="0093503A">
        <w:rPr>
          <w:rFonts w:asciiTheme="majorHAnsi" w:hAnsiTheme="majorHAnsi" w:cstheme="majorHAnsi"/>
          <w:color w:val="003399"/>
        </w:rPr>
        <w:t xml:space="preserve"> </w:t>
      </w:r>
      <w:r w:rsidRPr="0093503A">
        <w:rPr>
          <w:rFonts w:asciiTheme="majorHAnsi" w:hAnsiTheme="majorHAnsi" w:cstheme="majorHAnsi"/>
        </w:rPr>
        <w:t>a partner egyetem által jóváhagyott munkatervet (</w:t>
      </w:r>
      <w:proofErr w:type="spellStart"/>
      <w:r w:rsidRPr="0093503A">
        <w:rPr>
          <w:rFonts w:asciiTheme="majorHAnsi" w:hAnsiTheme="majorHAnsi" w:cstheme="majorHAnsi"/>
        </w:rPr>
        <w:t>Staff</w:t>
      </w:r>
      <w:proofErr w:type="spellEnd"/>
      <w:r w:rsidRPr="0093503A">
        <w:rPr>
          <w:rFonts w:asciiTheme="majorHAnsi" w:hAnsiTheme="majorHAnsi" w:cstheme="majorHAnsi"/>
        </w:rPr>
        <w:t xml:space="preserve"> </w:t>
      </w:r>
      <w:proofErr w:type="spellStart"/>
      <w:r w:rsidRPr="0093503A">
        <w:rPr>
          <w:rFonts w:asciiTheme="majorHAnsi" w:hAnsiTheme="majorHAnsi" w:cstheme="majorHAnsi"/>
        </w:rPr>
        <w:t>mobility</w:t>
      </w:r>
      <w:proofErr w:type="spellEnd"/>
      <w:r w:rsidRPr="0093503A">
        <w:rPr>
          <w:rFonts w:asciiTheme="majorHAnsi" w:hAnsiTheme="majorHAnsi" w:cstheme="majorHAnsi"/>
        </w:rPr>
        <w:t xml:space="preserve"> </w:t>
      </w:r>
      <w:proofErr w:type="spellStart"/>
      <w:r w:rsidRPr="0093503A">
        <w:rPr>
          <w:rFonts w:asciiTheme="majorHAnsi" w:hAnsiTheme="majorHAnsi" w:cstheme="majorHAnsi"/>
        </w:rPr>
        <w:t>for</w:t>
      </w:r>
      <w:proofErr w:type="spellEnd"/>
      <w:r w:rsidRPr="0093503A">
        <w:rPr>
          <w:rFonts w:asciiTheme="majorHAnsi" w:hAnsiTheme="majorHAnsi" w:cstheme="majorHAnsi"/>
        </w:rPr>
        <w:t xml:space="preserve"> </w:t>
      </w:r>
      <w:proofErr w:type="spellStart"/>
      <w:r w:rsidRPr="0093503A">
        <w:rPr>
          <w:rFonts w:asciiTheme="majorHAnsi" w:hAnsiTheme="majorHAnsi" w:cstheme="majorHAnsi"/>
        </w:rPr>
        <w:t>teaching</w:t>
      </w:r>
      <w:proofErr w:type="spellEnd"/>
      <w:r w:rsidRPr="0093503A">
        <w:rPr>
          <w:rFonts w:asciiTheme="majorHAnsi" w:hAnsiTheme="majorHAnsi" w:cstheme="majorHAnsi"/>
        </w:rPr>
        <w:t xml:space="preserve"> </w:t>
      </w:r>
      <w:proofErr w:type="spellStart"/>
      <w:r w:rsidRPr="0093503A">
        <w:rPr>
          <w:rFonts w:asciiTheme="majorHAnsi" w:hAnsiTheme="majorHAnsi" w:cstheme="majorHAnsi"/>
        </w:rPr>
        <w:t>mobility</w:t>
      </w:r>
      <w:proofErr w:type="spellEnd"/>
      <w:r w:rsidRPr="0093503A">
        <w:rPr>
          <w:rFonts w:asciiTheme="majorHAnsi" w:hAnsiTheme="majorHAnsi" w:cstheme="majorHAnsi"/>
        </w:rPr>
        <w:t xml:space="preserve"> </w:t>
      </w:r>
      <w:proofErr w:type="spellStart"/>
      <w:r w:rsidRPr="0093503A">
        <w:rPr>
          <w:rFonts w:asciiTheme="majorHAnsi" w:hAnsiTheme="majorHAnsi" w:cstheme="majorHAnsi"/>
        </w:rPr>
        <w:t>agreement</w:t>
      </w:r>
      <w:proofErr w:type="spellEnd"/>
      <w:r w:rsidRPr="0093503A">
        <w:rPr>
          <w:rFonts w:asciiTheme="majorHAnsi" w:hAnsiTheme="majorHAnsi" w:cstheme="majorHAnsi"/>
        </w:rPr>
        <w:t xml:space="preserve"> 2022)</w:t>
      </w:r>
    </w:p>
    <w:p w14:paraId="455A1136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 hiányos, feltételeknek nem megfelelő, olvashatatlan vagy határidő után érkező pályázatokat nem áll módunkban elfogadni.</w:t>
      </w:r>
    </w:p>
    <w:p w14:paraId="2B531BFC" w14:textId="23EF1450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b/>
          <w:bCs/>
        </w:rPr>
        <w:t>A benyújtott pályázatok elbírálása</w:t>
      </w:r>
    </w:p>
    <w:p w14:paraId="41C4575A" w14:textId="07DD8092" w:rsidR="007A3B8C" w:rsidRPr="007A3B8C" w:rsidRDefault="007A3B8C" w:rsidP="007A3B8C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7A3B8C">
        <w:rPr>
          <w:rFonts w:asciiTheme="majorHAnsi" w:hAnsiTheme="majorHAnsi" w:cstheme="majorHAnsi"/>
        </w:rPr>
        <w:t>A benyújtott pályázatokat a beadási határidőt követő 3 héten belül a kar Pályázati és Ösztöndíj Bizottsága bírálja el.</w:t>
      </w:r>
    </w:p>
    <w:p w14:paraId="02CB3159" w14:textId="77777777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A pályázatok elbírálásának szempontjai:</w:t>
      </w:r>
    </w:p>
    <w:p w14:paraId="4830E532" w14:textId="77777777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1.</w:t>
      </w:r>
      <w:proofErr w:type="gramStart"/>
      <w:r w:rsidRPr="0093503A">
        <w:rPr>
          <w:rFonts w:asciiTheme="majorHAnsi" w:hAnsiTheme="majorHAnsi" w:cstheme="majorHAnsi"/>
        </w:rPr>
        <w:t>)  Munkaterv</w:t>
      </w:r>
      <w:proofErr w:type="gramEnd"/>
      <w:r w:rsidRPr="0093503A">
        <w:rPr>
          <w:rFonts w:asciiTheme="majorHAnsi" w:hAnsiTheme="majorHAnsi" w:cstheme="majorHAnsi"/>
        </w:rPr>
        <w:t xml:space="preserve"> – Erasmus+ nyomtatvány szerint;</w:t>
      </w:r>
    </w:p>
    <w:p w14:paraId="16D57C0C" w14:textId="77777777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2.</w:t>
      </w:r>
      <w:proofErr w:type="gramStart"/>
      <w:r w:rsidRPr="0093503A">
        <w:rPr>
          <w:rFonts w:asciiTheme="majorHAnsi" w:hAnsiTheme="majorHAnsi" w:cstheme="majorHAnsi"/>
        </w:rPr>
        <w:t>)  Az</w:t>
      </w:r>
      <w:proofErr w:type="gramEnd"/>
      <w:r w:rsidRPr="0093503A">
        <w:rPr>
          <w:rFonts w:asciiTheme="majorHAnsi" w:hAnsiTheme="majorHAnsi" w:cstheme="majorHAnsi"/>
        </w:rPr>
        <w:t xml:space="preserve"> elmúlt tanévben vagy a korábbi években ERASMUS+ támogatásban nem részesült oktatók pályázata előnyben részesül. </w:t>
      </w:r>
    </w:p>
    <w:p w14:paraId="17048A6A" w14:textId="77777777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 A fogyatékkal élő vagy tartósan beteg oktatók kiegészítő támogatásra is pályázhatnak (a pályázat beadásának várható határideje: július és november, bővebb információ: http://mobilitas.</w:t>
      </w:r>
      <w:hyperlink r:id="rId10" w:history="1">
        <w:r w:rsidRPr="0093503A">
          <w:rPr>
            <w:rStyle w:val="Hiperhivatkozs"/>
            <w:rFonts w:asciiTheme="majorHAnsi" w:hAnsiTheme="majorHAnsi" w:cstheme="majorHAnsi"/>
          </w:rPr>
          <w:t>pte.hu</w:t>
        </w:r>
      </w:hyperlink>
      <w:r w:rsidRPr="0093503A">
        <w:rPr>
          <w:rFonts w:asciiTheme="majorHAnsi" w:hAnsiTheme="majorHAnsi" w:cstheme="majorHAnsi"/>
        </w:rPr>
        <w:t>)</w:t>
      </w:r>
    </w:p>
    <w:p w14:paraId="243EC4E0" w14:textId="77777777" w:rsidR="00517463" w:rsidRPr="0093503A" w:rsidRDefault="00517463" w:rsidP="007A3B8C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> A pályázatok elkészítésével kapcsolatos szakmai kérdésekben az intézeti / tanszéki, általános és formai kérdésekben a kari koordinátorok állnak rendelkezésükre.</w:t>
      </w:r>
    </w:p>
    <w:p w14:paraId="171379FA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13B32ED" w14:textId="77777777" w:rsidR="00517463" w:rsidRPr="0093503A" w:rsidRDefault="00517463" w:rsidP="00517463">
      <w:pPr>
        <w:rPr>
          <w:rFonts w:asciiTheme="majorHAnsi" w:hAnsiTheme="majorHAnsi" w:cstheme="majorHAnsi"/>
          <w:b/>
          <w:bCs/>
          <w:i/>
          <w:iCs/>
        </w:rPr>
      </w:pPr>
      <w:r w:rsidRPr="0093503A">
        <w:rPr>
          <w:rFonts w:asciiTheme="majorHAnsi" w:hAnsiTheme="majorHAnsi" w:cstheme="majorHAnsi"/>
          <w:b/>
          <w:bCs/>
          <w:i/>
          <w:iCs/>
        </w:rPr>
        <w:t>Személyzeti kiutazásokra vonatkozó speciális ajánlások és engedélyeztetések</w:t>
      </w:r>
    </w:p>
    <w:p w14:paraId="371D9666" w14:textId="77777777" w:rsidR="00517463" w:rsidRPr="0093503A" w:rsidRDefault="00517463" w:rsidP="0051746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93503A">
        <w:rPr>
          <w:rFonts w:asciiTheme="majorHAnsi" w:hAnsiTheme="majorHAnsi" w:cstheme="majorHAnsi"/>
          <w:b/>
        </w:rPr>
        <w:t>Várható Ösztöndíj összegek a 2022-2023-as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517463" w:rsidRPr="0093503A" w14:paraId="434CDA6C" w14:textId="77777777" w:rsidTr="003914A8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051F9AE7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503A">
              <w:rPr>
                <w:rFonts w:asciiTheme="majorHAnsi" w:hAnsiTheme="majorHAnsi" w:cstheme="majorHAnsi"/>
                <w:b/>
                <w:bCs/>
              </w:rPr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28864D36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503A">
              <w:rPr>
                <w:rFonts w:asciiTheme="majorHAnsi" w:hAnsiTheme="majorHAnsi" w:cstheme="majorHAnsi"/>
                <w:b/>
                <w:bCs/>
              </w:rPr>
              <w:t>1.-14. nap</w:t>
            </w:r>
          </w:p>
        </w:tc>
      </w:tr>
      <w:tr w:rsidR="00517463" w:rsidRPr="0093503A" w14:paraId="367D2C92" w14:textId="77777777" w:rsidTr="002614E0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6437D9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93503A">
              <w:rPr>
                <w:rFonts w:asciiTheme="majorHAnsi" w:hAnsiTheme="majorHAnsi" w:cstheme="majorHAnsi"/>
                <w:color w:val="333333"/>
                <w:shd w:val="clear" w:color="auto" w:fill="EEEEEE"/>
              </w:rPr>
              <w:t>Magas megélhetési költségű országok</w:t>
            </w:r>
            <w:r w:rsidRPr="0093503A">
              <w:rPr>
                <w:rFonts w:asciiTheme="majorHAnsi" w:hAnsiTheme="majorHAnsi" w:cstheme="majorHAnsi"/>
                <w:color w:val="333333"/>
              </w:rPr>
              <w:br/>
            </w:r>
            <w:r w:rsidRPr="0093503A">
              <w:rPr>
                <w:rFonts w:asciiTheme="majorHAnsi" w:hAnsiTheme="majorHAnsi" w:cstheme="majorHAnsi"/>
                <w:color w:val="333333"/>
                <w:shd w:val="clear" w:color="auto" w:fill="EEEEEE"/>
              </w:rPr>
              <w:t>((Dánia (DK), Finnország (FI), Írország (IE</w:t>
            </w:r>
            <w:proofErr w:type="gramStart"/>
            <w:r w:rsidRPr="0093503A">
              <w:rPr>
                <w:rFonts w:asciiTheme="majorHAnsi" w:hAnsiTheme="majorHAnsi" w:cstheme="majorHAnsi"/>
                <w:color w:val="333333"/>
                <w:shd w:val="clear" w:color="auto" w:fill="EEEEEE"/>
              </w:rPr>
              <w:t>),  Norvégia</w:t>
            </w:r>
            <w:proofErr w:type="gramEnd"/>
            <w:r w:rsidRPr="0093503A">
              <w:rPr>
                <w:rFonts w:asciiTheme="majorHAnsi" w:hAnsiTheme="majorHAnsi" w:cstheme="majorHAnsi"/>
                <w:color w:val="333333"/>
                <w:shd w:val="clear" w:color="auto" w:fill="EEEEEE"/>
              </w:rPr>
              <w:t xml:space="preserve">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F7F22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  <w:r w:rsidRPr="0093503A">
              <w:rPr>
                <w:rFonts w:asciiTheme="majorHAnsi" w:hAnsiTheme="majorHAnsi" w:cstheme="majorHAnsi"/>
                <w:b/>
              </w:rPr>
              <w:t>170 € / nap</w:t>
            </w:r>
          </w:p>
        </w:tc>
      </w:tr>
      <w:tr w:rsidR="00517463" w:rsidRPr="0093503A" w14:paraId="22D5C554" w14:textId="77777777" w:rsidTr="002614E0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B23A232" w14:textId="77777777" w:rsidR="00517463" w:rsidRPr="0093503A" w:rsidRDefault="00517463" w:rsidP="00517463">
            <w:pPr>
              <w:rPr>
                <w:rFonts w:asciiTheme="majorHAnsi" w:hAnsiTheme="majorHAnsi" w:cstheme="majorHAnsi"/>
                <w:color w:val="333333"/>
              </w:rPr>
            </w:pPr>
            <w:r w:rsidRPr="0093503A">
              <w:rPr>
                <w:rFonts w:asciiTheme="majorHAnsi" w:hAnsiTheme="majorHAnsi" w:cstheme="majorHAnsi"/>
                <w:color w:val="333333"/>
              </w:rPr>
              <w:t>Közepes megélhetési költségű országok</w:t>
            </w:r>
          </w:p>
          <w:p w14:paraId="21124B1B" w14:textId="77777777" w:rsidR="00517463" w:rsidRPr="0093503A" w:rsidRDefault="00517463" w:rsidP="00517463">
            <w:pPr>
              <w:rPr>
                <w:rFonts w:asciiTheme="majorHAnsi" w:hAnsiTheme="majorHAnsi" w:cstheme="majorHAnsi"/>
                <w:color w:val="333333"/>
              </w:rPr>
            </w:pPr>
            <w:r w:rsidRPr="0093503A">
              <w:rPr>
                <w:rFonts w:asciiTheme="majorHAnsi" w:hAnsiTheme="majorHAnsi" w:cstheme="majorHAnsi"/>
                <w:color w:val="333333"/>
              </w:rPr>
              <w:t>(Ausztria (AT), Belgium (BE), Ciprus (CY), Németország (DE), Görögország (EL), Spanyolország (ES), Franciaország (FR), Olaszország (IT), Hollandia (NL</w:t>
            </w:r>
            <w:proofErr w:type="gramStart"/>
            <w:r w:rsidRPr="0093503A">
              <w:rPr>
                <w:rFonts w:asciiTheme="majorHAnsi" w:hAnsiTheme="majorHAnsi" w:cstheme="majorHAnsi"/>
                <w:color w:val="333333"/>
              </w:rPr>
              <w:t>),  Málta</w:t>
            </w:r>
            <w:proofErr w:type="gramEnd"/>
            <w:r w:rsidRPr="0093503A">
              <w:rPr>
                <w:rFonts w:asciiTheme="majorHAnsi" w:hAnsiTheme="majorHAnsi" w:cstheme="majorHAnsi"/>
                <w:color w:val="333333"/>
              </w:rPr>
              <w:t xml:space="preserve"> (MT), Portugália (PT))</w:t>
            </w:r>
          </w:p>
          <w:p w14:paraId="55D816DC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1DDC5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  <w:r w:rsidRPr="0093503A">
              <w:rPr>
                <w:rFonts w:asciiTheme="majorHAnsi" w:hAnsiTheme="majorHAnsi" w:cstheme="majorHAnsi"/>
                <w:b/>
              </w:rPr>
              <w:t>140 € / nap</w:t>
            </w:r>
          </w:p>
        </w:tc>
      </w:tr>
      <w:tr w:rsidR="00517463" w:rsidRPr="0093503A" w14:paraId="7BFC890F" w14:textId="77777777" w:rsidTr="002614E0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FFFD88" w14:textId="77777777" w:rsidR="00517463" w:rsidRPr="0093503A" w:rsidRDefault="00517463" w:rsidP="00517463">
            <w:pPr>
              <w:rPr>
                <w:rFonts w:asciiTheme="majorHAnsi" w:hAnsiTheme="majorHAnsi" w:cstheme="majorHAnsi"/>
                <w:color w:val="333333"/>
              </w:rPr>
            </w:pPr>
            <w:r w:rsidRPr="0093503A">
              <w:rPr>
                <w:rFonts w:asciiTheme="majorHAnsi" w:hAnsiTheme="majorHAnsi" w:cstheme="majorHAnsi"/>
                <w:color w:val="333333"/>
              </w:rPr>
              <w:t>Alacsonyabb megélhetési költségű országok</w:t>
            </w:r>
          </w:p>
          <w:p w14:paraId="60AE3853" w14:textId="77777777" w:rsidR="00517463" w:rsidRPr="0093503A" w:rsidRDefault="00517463" w:rsidP="00517463">
            <w:pPr>
              <w:rPr>
                <w:rFonts w:asciiTheme="majorHAnsi" w:hAnsiTheme="majorHAnsi" w:cstheme="majorHAnsi"/>
                <w:color w:val="333333"/>
              </w:rPr>
            </w:pPr>
            <w:r w:rsidRPr="0093503A">
              <w:rPr>
                <w:rFonts w:asciiTheme="majorHAnsi" w:hAnsiTheme="majorHAnsi" w:cstheme="majorHAnsi"/>
                <w:color w:val="333333"/>
              </w:rPr>
              <w:t>(Bulgária (BG), Csehország (CZ), Észtország (EE), Horvátország (HR), Litvánia (LT), Lettország (LV), Lengyelország (PL), Románia (RO), Szlovénia (SI), Szlovákia (SK</w:t>
            </w:r>
            <w:proofErr w:type="gramStart"/>
            <w:r w:rsidRPr="0093503A">
              <w:rPr>
                <w:rFonts w:asciiTheme="majorHAnsi" w:hAnsiTheme="majorHAnsi" w:cstheme="majorHAnsi"/>
                <w:color w:val="333333"/>
              </w:rPr>
              <w:t>),  Macedónia</w:t>
            </w:r>
            <w:proofErr w:type="gramEnd"/>
            <w:r w:rsidRPr="0093503A">
              <w:rPr>
                <w:rFonts w:asciiTheme="majorHAnsi" w:hAnsiTheme="majorHAnsi" w:cstheme="majorHAnsi"/>
                <w:color w:val="333333"/>
              </w:rPr>
              <w:t xml:space="preserve"> (MK), Törökország (TR), </w:t>
            </w:r>
            <w:proofErr w:type="spellStart"/>
            <w:r w:rsidRPr="0093503A">
              <w:rPr>
                <w:rFonts w:asciiTheme="majorHAnsi" w:hAnsiTheme="majorHAnsi" w:cstheme="majorHAnsi"/>
                <w:color w:val="333333"/>
              </w:rPr>
              <w:t>Serbia</w:t>
            </w:r>
            <w:proofErr w:type="spellEnd"/>
            <w:r w:rsidRPr="0093503A">
              <w:rPr>
                <w:rFonts w:asciiTheme="majorHAnsi" w:hAnsiTheme="majorHAnsi" w:cstheme="majorHAnsi"/>
                <w:color w:val="333333"/>
              </w:rPr>
              <w:t xml:space="preserve"> (RS))</w:t>
            </w:r>
          </w:p>
          <w:p w14:paraId="16B3B3FA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C3FE9" w14:textId="77777777" w:rsidR="00517463" w:rsidRPr="0093503A" w:rsidRDefault="00517463" w:rsidP="00517463">
            <w:pPr>
              <w:pStyle w:val="Norm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  <w:r w:rsidRPr="0093503A">
              <w:rPr>
                <w:rFonts w:asciiTheme="majorHAnsi" w:hAnsiTheme="majorHAnsi" w:cstheme="majorHAnsi"/>
                <w:b/>
              </w:rPr>
              <w:t>110 € / nap</w:t>
            </w:r>
          </w:p>
        </w:tc>
      </w:tr>
    </w:tbl>
    <w:p w14:paraId="34B2A9A0" w14:textId="77777777" w:rsidR="00517463" w:rsidRPr="0093503A" w:rsidRDefault="00517463" w:rsidP="00517463">
      <w:pPr>
        <w:rPr>
          <w:rFonts w:asciiTheme="majorHAnsi" w:hAnsiTheme="majorHAnsi" w:cstheme="majorHAnsi"/>
          <w:b/>
        </w:rPr>
      </w:pPr>
      <w:r w:rsidRPr="0093503A">
        <w:rPr>
          <w:rFonts w:asciiTheme="majorHAnsi" w:hAnsiTheme="majorHAnsi" w:cstheme="majorHAnsi"/>
          <w:b/>
        </w:rPr>
        <w:t>A kiutazásokhoz egyszeri utazási támogatás is adható.</w:t>
      </w:r>
    </w:p>
    <w:p w14:paraId="45222EB3" w14:textId="77777777" w:rsidR="00517463" w:rsidRPr="0093503A" w:rsidRDefault="00517463" w:rsidP="00517463">
      <w:pPr>
        <w:rPr>
          <w:rStyle w:val="markedcontent"/>
          <w:rFonts w:asciiTheme="majorHAnsi" w:hAnsiTheme="majorHAnsi" w:cstheme="majorHAnsi"/>
        </w:rPr>
      </w:pPr>
      <w:r w:rsidRPr="0093503A">
        <w:rPr>
          <w:rStyle w:val="markedcontent"/>
          <w:rFonts w:asciiTheme="majorHAnsi" w:hAnsiTheme="majorHAnsi" w:cstheme="majorHAnsi"/>
        </w:rPr>
        <w:t>„</w:t>
      </w:r>
      <w:proofErr w:type="spellStart"/>
      <w:r w:rsidRPr="0093503A">
        <w:rPr>
          <w:rStyle w:val="markedcontent"/>
          <w:rFonts w:asciiTheme="majorHAnsi" w:hAnsiTheme="majorHAnsi" w:cstheme="majorHAnsi"/>
        </w:rPr>
        <w:t>Green</w:t>
      </w:r>
      <w:proofErr w:type="spellEnd"/>
      <w:r w:rsidRPr="0093503A">
        <w:rPr>
          <w:rStyle w:val="markedcontent"/>
          <w:rFonts w:asciiTheme="majorHAnsi" w:hAnsiTheme="majorHAnsi" w:cstheme="majorHAnsi"/>
        </w:rPr>
        <w:t xml:space="preserve"> </w:t>
      </w:r>
      <w:proofErr w:type="gramStart"/>
      <w:r w:rsidRPr="0093503A">
        <w:rPr>
          <w:rStyle w:val="markedcontent"/>
          <w:rFonts w:asciiTheme="majorHAnsi" w:hAnsiTheme="majorHAnsi" w:cstheme="majorHAnsi"/>
        </w:rPr>
        <w:t>ERASMUS”=</w:t>
      </w:r>
      <w:proofErr w:type="gramEnd"/>
      <w:r w:rsidRPr="0093503A">
        <w:rPr>
          <w:rStyle w:val="markedcontent"/>
          <w:rFonts w:asciiTheme="majorHAnsi" w:hAnsiTheme="majorHAnsi" w:cstheme="majorHAnsi"/>
        </w:rPr>
        <w:t xml:space="preserve"> Zöld Utazás: amennyiben a dolgozó és vagy oktató vállalja és tudja igazolni, hogy teljes egészében környezetbarát utazási módot (vonat, autóbusz, telekocsi) választ a ki- és 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4B665F1F" w14:textId="77777777" w:rsidR="00517463" w:rsidRPr="0093503A" w:rsidRDefault="00517463" w:rsidP="00517463">
      <w:pPr>
        <w:rPr>
          <w:rFonts w:asciiTheme="majorHAnsi" w:hAnsiTheme="majorHAnsi" w:cstheme="majorHAnsi"/>
        </w:rPr>
      </w:pPr>
    </w:p>
    <w:p w14:paraId="315BF6CA" w14:textId="77777777" w:rsidR="00517463" w:rsidRPr="0093503A" w:rsidRDefault="00517463" w:rsidP="00517463">
      <w:pPr>
        <w:rPr>
          <w:rFonts w:asciiTheme="majorHAnsi" w:hAnsiTheme="majorHAnsi" w:cstheme="majorHAnsi"/>
          <w:b/>
          <w:bCs/>
          <w:color w:val="002060"/>
        </w:rPr>
      </w:pPr>
      <w:r w:rsidRPr="0093503A">
        <w:rPr>
          <w:rFonts w:asciiTheme="majorHAnsi" w:hAnsiTheme="majorHAnsi" w:cstheme="majorHAnsi"/>
          <w:b/>
          <w:bCs/>
          <w:color w:val="002060"/>
        </w:rPr>
        <w:t>Általános alapelvek a zöld utazási formával kapcsolatban:</w:t>
      </w:r>
    </w:p>
    <w:p w14:paraId="301764A6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 xml:space="preserve">Zöld utazásnak tekinthető minden, ami </w:t>
      </w:r>
      <w:r w:rsidRPr="0093503A">
        <w:rPr>
          <w:rFonts w:asciiTheme="majorHAnsi" w:hAnsiTheme="majorHAnsi" w:cstheme="majorHAnsi"/>
          <w:b/>
          <w:bCs/>
          <w:color w:val="002060"/>
        </w:rPr>
        <w:t>nem repülő és hajóút</w:t>
      </w:r>
      <w:r w:rsidRPr="0093503A">
        <w:rPr>
          <w:rFonts w:asciiTheme="majorHAnsi" w:hAnsiTheme="majorHAnsi" w:cstheme="majorHAnsi"/>
          <w:color w:val="002060"/>
        </w:rPr>
        <w:t>.</w:t>
      </w:r>
    </w:p>
    <w:p w14:paraId="0C7CEFCD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>Zöld utazásnak minősül, a busz, vonat, a telekocsi.</w:t>
      </w:r>
    </w:p>
    <w:p w14:paraId="3008477E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b/>
          <w:bCs/>
          <w:color w:val="002060"/>
        </w:rPr>
        <w:lastRenderedPageBreak/>
        <w:t>Abban az esetben NEM jár</w:t>
      </w:r>
      <w:r w:rsidRPr="0093503A">
        <w:rPr>
          <w:rFonts w:asciiTheme="majorHAnsi" w:hAnsiTheme="majorHAnsi" w:cstheme="majorHAnsi"/>
          <w:color w:val="002060"/>
        </w:rPr>
        <w:t xml:space="preserve"> a zöld utazási támogatás, ha csak </w:t>
      </w:r>
      <w:r w:rsidRPr="0093503A">
        <w:rPr>
          <w:rFonts w:asciiTheme="majorHAnsi" w:hAnsiTheme="majorHAnsi" w:cstheme="majorHAnsi"/>
          <w:b/>
          <w:bCs/>
          <w:color w:val="002060"/>
        </w:rPr>
        <w:t>egy irányba</w:t>
      </w:r>
      <w:r w:rsidRPr="0093503A">
        <w:rPr>
          <w:rFonts w:asciiTheme="majorHAnsi" w:hAnsiTheme="majorHAnsi" w:cstheme="majorHAnsi"/>
          <w:color w:val="002060"/>
        </w:rPr>
        <w:t xml:space="preserve"> valósul meg a zöld utazás.</w:t>
      </w:r>
    </w:p>
    <w:p w14:paraId="48AB7335" w14:textId="155B2A9F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b/>
          <w:bCs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 xml:space="preserve">Gépjárművel történő utazás esetén: </w:t>
      </w:r>
      <w:r w:rsidRPr="0093503A">
        <w:rPr>
          <w:rFonts w:asciiTheme="majorHAnsi" w:hAnsiTheme="majorHAnsi" w:cstheme="majorHAnsi"/>
          <w:b/>
          <w:bCs/>
          <w:color w:val="002060"/>
        </w:rPr>
        <w:t>ha csak egyedül utazik az oktató</w:t>
      </w:r>
      <w:r w:rsidRPr="0093503A">
        <w:rPr>
          <w:rFonts w:asciiTheme="majorHAnsi" w:hAnsiTheme="majorHAnsi" w:cstheme="majorHAnsi"/>
          <w:color w:val="002060"/>
        </w:rPr>
        <w:t xml:space="preserve"> - és nem csatlakozik hozzá más oktató, dolgozó vagy Hallgató (BIP </w:t>
      </w:r>
      <w:proofErr w:type="gramStart"/>
      <w:r w:rsidRPr="0093503A">
        <w:rPr>
          <w:rFonts w:asciiTheme="majorHAnsi" w:hAnsiTheme="majorHAnsi" w:cstheme="majorHAnsi"/>
          <w:color w:val="002060"/>
        </w:rPr>
        <w:t>esetén</w:t>
      </w:r>
      <w:r w:rsidRPr="0093503A">
        <w:rPr>
          <w:rFonts w:asciiTheme="majorHAnsi" w:hAnsiTheme="majorHAnsi" w:cstheme="majorHAnsi"/>
          <w:b/>
          <w:bCs/>
          <w:color w:val="002060"/>
        </w:rPr>
        <w:t>)-</w:t>
      </w:r>
      <w:proofErr w:type="gramEnd"/>
      <w:r w:rsidRPr="0093503A">
        <w:rPr>
          <w:rFonts w:asciiTheme="majorHAnsi" w:hAnsiTheme="majorHAnsi" w:cstheme="majorHAnsi"/>
          <w:b/>
          <w:bCs/>
          <w:color w:val="002060"/>
        </w:rPr>
        <w:t xml:space="preserve"> NEM minősül Zöld utazásnak.</w:t>
      </w:r>
    </w:p>
    <w:p w14:paraId="746F8833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 xml:space="preserve">Az utazási formát az utazási dokumentumokkal, továbbá a Tempus Közalapítvány által készített nyilatkozattal tudják igazolni a kiutazók. </w:t>
      </w:r>
    </w:p>
    <w:p w14:paraId="75C90575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 xml:space="preserve">Kérjük, hogy az utazás igazolásait (pl. vonatjegy, buszjegy, </w:t>
      </w:r>
      <w:r w:rsidRPr="0093503A">
        <w:rPr>
          <w:rFonts w:asciiTheme="majorHAnsi" w:hAnsiTheme="majorHAnsi" w:cstheme="majorHAnsi"/>
          <w:bCs/>
          <w:color w:val="002060"/>
        </w:rPr>
        <w:t>telekocsi bizonylat, benzin – autópálya matrica bizonylat</w:t>
      </w:r>
      <w:r w:rsidRPr="0093503A">
        <w:rPr>
          <w:rFonts w:asciiTheme="majorHAnsi" w:hAnsiTheme="majorHAnsi" w:cstheme="majorHAnsi"/>
          <w:color w:val="002060"/>
        </w:rPr>
        <w:t>) kötelesek megőrizni és kérésre bemutatni/átadni a küldő intézménynek.</w:t>
      </w:r>
    </w:p>
    <w:p w14:paraId="3BE3604D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>A zöld utazási támogatás a résztvevővel kötött támogatási megállapodásban foglalt jogosultsági feltételek fennállása esetén a standard utazási támogatáson felül járhat, és utófinanszírozásként kerülhet kifizetésre.</w:t>
      </w:r>
    </w:p>
    <w:p w14:paraId="1CF23B1F" w14:textId="77777777" w:rsidR="00517463" w:rsidRPr="0093503A" w:rsidRDefault="00517463" w:rsidP="00517463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2060"/>
        </w:rPr>
      </w:pPr>
      <w:r w:rsidRPr="0093503A">
        <w:rPr>
          <w:rFonts w:asciiTheme="majorHAnsi" w:hAnsiTheme="majorHAnsi" w:cstheme="majorHAnsi"/>
          <w:color w:val="002060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1C645FDF" w14:textId="77777777" w:rsidR="00517463" w:rsidRPr="0093503A" w:rsidRDefault="00517463" w:rsidP="00517463">
      <w:pPr>
        <w:tabs>
          <w:tab w:val="left" w:pos="424"/>
        </w:tabs>
        <w:jc w:val="both"/>
        <w:rPr>
          <w:rFonts w:asciiTheme="majorHAnsi" w:hAnsiTheme="majorHAnsi" w:cstheme="majorHAnsi"/>
          <w:b/>
        </w:rPr>
      </w:pPr>
      <w:r w:rsidRPr="0093503A">
        <w:rPr>
          <w:rFonts w:asciiTheme="majorHAnsi" w:hAnsiTheme="majorHAnsi" w:cstheme="majorHAnsi"/>
          <w:b/>
          <w:spacing w:val="-3"/>
        </w:rPr>
        <w:t xml:space="preserve">OKTATÓK </w:t>
      </w:r>
      <w:r w:rsidRPr="0093503A">
        <w:rPr>
          <w:rFonts w:asciiTheme="majorHAnsi" w:hAnsiTheme="majorHAnsi" w:cstheme="majorHAnsi"/>
          <w:b/>
        </w:rPr>
        <w:t>MOBILITÁSÁNAK</w:t>
      </w:r>
      <w:r w:rsidRPr="0093503A">
        <w:rPr>
          <w:rFonts w:asciiTheme="majorHAnsi" w:hAnsiTheme="majorHAnsi" w:cstheme="majorHAnsi"/>
          <w:b/>
          <w:spacing w:val="3"/>
        </w:rPr>
        <w:t xml:space="preserve"> </w:t>
      </w:r>
      <w:r w:rsidRPr="0093503A">
        <w:rPr>
          <w:rFonts w:asciiTheme="majorHAnsi" w:hAnsiTheme="majorHAnsi" w:cstheme="majorHAnsi"/>
          <w:b/>
          <w:spacing w:val="-6"/>
        </w:rPr>
        <w:t>TÁMOGATÁSA</w:t>
      </w:r>
    </w:p>
    <w:p w14:paraId="51BEB724" w14:textId="374585CF" w:rsidR="00517463" w:rsidRPr="0093503A" w:rsidRDefault="00517463" w:rsidP="00517463">
      <w:pPr>
        <w:pStyle w:val="Szvegtrzs"/>
        <w:spacing w:after="0"/>
        <w:ind w:right="418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  <w:w w:val="95"/>
        </w:rPr>
        <w:t>A</w:t>
      </w:r>
      <w:r w:rsidRPr="0093503A">
        <w:rPr>
          <w:rFonts w:asciiTheme="majorHAnsi" w:hAnsiTheme="majorHAnsi" w:cstheme="majorHAnsi"/>
          <w:spacing w:val="-34"/>
          <w:w w:val="95"/>
        </w:rPr>
        <w:t xml:space="preserve">z </w:t>
      </w:r>
      <w:r w:rsidRPr="0093503A">
        <w:rPr>
          <w:rFonts w:asciiTheme="majorHAnsi" w:hAnsiTheme="majorHAnsi" w:cstheme="majorHAnsi"/>
          <w:w w:val="95"/>
        </w:rPr>
        <w:t>oktatók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a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külföldön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töltött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időszak</w:t>
      </w:r>
      <w:r w:rsidRPr="0093503A">
        <w:rPr>
          <w:rFonts w:asciiTheme="majorHAnsi" w:hAnsiTheme="majorHAnsi" w:cstheme="majorHAnsi"/>
          <w:spacing w:val="-32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során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a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spacing w:val="-3"/>
          <w:w w:val="95"/>
        </w:rPr>
        <w:t>következő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összegű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uniós</w:t>
      </w:r>
      <w:r w:rsidRPr="0093503A">
        <w:rPr>
          <w:rFonts w:asciiTheme="majorHAnsi" w:hAnsiTheme="majorHAnsi" w:cstheme="majorHAnsi"/>
          <w:spacing w:val="-30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>támogatásban</w:t>
      </w:r>
      <w:r w:rsidRPr="0093503A">
        <w:rPr>
          <w:rFonts w:asciiTheme="majorHAnsi" w:hAnsiTheme="majorHAnsi" w:cstheme="majorHAnsi"/>
          <w:spacing w:val="-33"/>
          <w:w w:val="95"/>
        </w:rPr>
        <w:t xml:space="preserve"> </w:t>
      </w:r>
      <w:r w:rsidRPr="0093503A">
        <w:rPr>
          <w:rFonts w:asciiTheme="majorHAnsi" w:hAnsiTheme="majorHAnsi" w:cstheme="majorHAnsi"/>
          <w:w w:val="95"/>
        </w:rPr>
        <w:t xml:space="preserve">részesülnek </w:t>
      </w:r>
      <w:r w:rsidRPr="0093503A">
        <w:rPr>
          <w:rFonts w:asciiTheme="majorHAnsi" w:hAnsiTheme="majorHAnsi" w:cstheme="majorHAnsi"/>
        </w:rPr>
        <w:t>az</w:t>
      </w:r>
      <w:r w:rsidRPr="0093503A">
        <w:rPr>
          <w:rFonts w:asciiTheme="majorHAnsi" w:hAnsiTheme="majorHAnsi" w:cstheme="majorHAnsi"/>
          <w:spacing w:val="-15"/>
        </w:rPr>
        <w:t xml:space="preserve"> </w:t>
      </w:r>
      <w:r w:rsidRPr="0093503A">
        <w:rPr>
          <w:rFonts w:asciiTheme="majorHAnsi" w:hAnsiTheme="majorHAnsi" w:cstheme="majorHAnsi"/>
        </w:rPr>
        <w:t>utazási</w:t>
      </w:r>
      <w:r w:rsidRPr="0093503A">
        <w:rPr>
          <w:rFonts w:asciiTheme="majorHAnsi" w:hAnsiTheme="majorHAnsi" w:cstheme="majorHAnsi"/>
          <w:spacing w:val="-17"/>
        </w:rPr>
        <w:t xml:space="preserve"> </w:t>
      </w:r>
      <w:r w:rsidRPr="0093503A">
        <w:rPr>
          <w:rFonts w:asciiTheme="majorHAnsi" w:hAnsiTheme="majorHAnsi" w:cstheme="majorHAnsi"/>
        </w:rPr>
        <w:t>és</w:t>
      </w:r>
      <w:r w:rsidRPr="0093503A">
        <w:rPr>
          <w:rFonts w:asciiTheme="majorHAnsi" w:hAnsiTheme="majorHAnsi" w:cstheme="majorHAnsi"/>
          <w:spacing w:val="-16"/>
        </w:rPr>
        <w:t xml:space="preserve"> </w:t>
      </w:r>
      <w:r w:rsidRPr="0093503A">
        <w:rPr>
          <w:rFonts w:asciiTheme="majorHAnsi" w:hAnsiTheme="majorHAnsi" w:cstheme="majorHAnsi"/>
        </w:rPr>
        <w:t>tartózkodási</w:t>
      </w:r>
      <w:r w:rsidRPr="0093503A">
        <w:rPr>
          <w:rFonts w:asciiTheme="majorHAnsi" w:hAnsiTheme="majorHAnsi" w:cstheme="majorHAnsi"/>
          <w:spacing w:val="-17"/>
        </w:rPr>
        <w:t xml:space="preserve"> </w:t>
      </w:r>
      <w:r w:rsidRPr="0093503A">
        <w:rPr>
          <w:rFonts w:asciiTheme="majorHAnsi" w:hAnsiTheme="majorHAnsi" w:cstheme="majorHAnsi"/>
        </w:rPr>
        <w:t>költségeikhez</w:t>
      </w:r>
      <w:r w:rsidRPr="0093503A">
        <w:rPr>
          <w:rFonts w:asciiTheme="majorHAnsi" w:hAnsiTheme="majorHAnsi" w:cstheme="majorHAnsi"/>
          <w:spacing w:val="-14"/>
        </w:rPr>
        <w:t xml:space="preserve"> </w:t>
      </w:r>
      <w:r w:rsidRPr="0093503A">
        <w:rPr>
          <w:rFonts w:asciiTheme="majorHAnsi" w:hAnsiTheme="majorHAnsi" w:cstheme="majorHAnsi"/>
        </w:rPr>
        <w:t>való</w:t>
      </w:r>
      <w:r w:rsidRPr="0093503A">
        <w:rPr>
          <w:rFonts w:asciiTheme="majorHAnsi" w:hAnsiTheme="majorHAnsi" w:cstheme="majorHAnsi"/>
          <w:spacing w:val="-15"/>
        </w:rPr>
        <w:t xml:space="preserve"> </w:t>
      </w:r>
      <w:r w:rsidRPr="0093503A">
        <w:rPr>
          <w:rFonts w:asciiTheme="majorHAnsi" w:hAnsiTheme="majorHAnsi" w:cstheme="majorHAnsi"/>
        </w:rPr>
        <w:t>hozzájárulásként: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3402"/>
        <w:gridCol w:w="2024"/>
        <w:gridCol w:w="1534"/>
        <w:gridCol w:w="1703"/>
      </w:tblGrid>
      <w:tr w:rsidR="00517463" w:rsidRPr="0093503A" w14:paraId="7F044A16" w14:textId="77777777" w:rsidTr="003914A8">
        <w:trPr>
          <w:trHeight w:val="568"/>
          <w:jc w:val="center"/>
        </w:trPr>
        <w:tc>
          <w:tcPr>
            <w:tcW w:w="1543" w:type="dxa"/>
            <w:shd w:val="clear" w:color="auto" w:fill="003399"/>
            <w:vAlign w:val="center"/>
          </w:tcPr>
          <w:p w14:paraId="1C84C4B6" w14:textId="02054A2E" w:rsidR="00517463" w:rsidRPr="0093503A" w:rsidRDefault="00517463" w:rsidP="00517463">
            <w:pPr>
              <w:pStyle w:val="TableParagraph"/>
              <w:ind w:left="134" w:right="13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Költségvetési</w:t>
            </w:r>
          </w:p>
          <w:p w14:paraId="2C7B2B6C" w14:textId="77777777" w:rsidR="00517463" w:rsidRPr="0093503A" w:rsidRDefault="00517463" w:rsidP="00517463">
            <w:pPr>
              <w:pStyle w:val="TableParagraph"/>
              <w:ind w:left="134" w:right="13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kategória</w:t>
            </w:r>
          </w:p>
        </w:tc>
        <w:tc>
          <w:tcPr>
            <w:tcW w:w="3402" w:type="dxa"/>
            <w:shd w:val="clear" w:color="auto" w:fill="003399"/>
            <w:vAlign w:val="center"/>
          </w:tcPr>
          <w:p w14:paraId="0C3D95A5" w14:textId="77777777" w:rsidR="00517463" w:rsidRPr="0093503A" w:rsidRDefault="00517463" w:rsidP="00517463">
            <w:pPr>
              <w:pStyle w:val="TableParagraph"/>
              <w:ind w:left="-8" w:right="5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Elszámolható költségek és alkalmazandó</w:t>
            </w:r>
          </w:p>
          <w:p w14:paraId="31A29264" w14:textId="77777777" w:rsidR="00517463" w:rsidRPr="0093503A" w:rsidRDefault="00517463" w:rsidP="00517463">
            <w:pPr>
              <w:pStyle w:val="TableParagraph"/>
              <w:ind w:left="-8" w:right="5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szabályok</w:t>
            </w:r>
          </w:p>
        </w:tc>
        <w:tc>
          <w:tcPr>
            <w:tcW w:w="5261" w:type="dxa"/>
            <w:gridSpan w:val="3"/>
            <w:shd w:val="clear" w:color="auto" w:fill="003399"/>
            <w:vAlign w:val="center"/>
          </w:tcPr>
          <w:p w14:paraId="44D6C9B0" w14:textId="77777777" w:rsidR="00517463" w:rsidRPr="0093503A" w:rsidRDefault="00517463" w:rsidP="00517463">
            <w:pPr>
              <w:pStyle w:val="TableParagraph"/>
              <w:ind w:left="1780" w:right="177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Összeg</w:t>
            </w:r>
          </w:p>
        </w:tc>
      </w:tr>
      <w:tr w:rsidR="00517463" w:rsidRPr="0093503A" w14:paraId="73052363" w14:textId="77777777" w:rsidTr="002614E0">
        <w:trPr>
          <w:trHeight w:val="1060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14:paraId="629B366F" w14:textId="77777777" w:rsidR="00517463" w:rsidRPr="0093503A" w:rsidRDefault="00517463" w:rsidP="00517463">
            <w:pPr>
              <w:pStyle w:val="TableParagraph"/>
              <w:ind w:left="134" w:right="13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Utazási támogatás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78437AF" w14:textId="77777777" w:rsidR="00517463" w:rsidRPr="0093503A" w:rsidRDefault="00517463" w:rsidP="00517463">
            <w:pPr>
              <w:pStyle w:val="TableParagraph"/>
              <w:ind w:left="-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3503A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kiindulás</w:t>
            </w:r>
            <w:r w:rsidRPr="0093503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helyétől</w:t>
            </w:r>
            <w:r w:rsidRPr="0093503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3503A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tevékenység</w:t>
            </w:r>
            <w:r w:rsidRPr="0093503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 xml:space="preserve">helyszínéig történő utazásra, illetve a visszaútra fizetett, a </w:t>
            </w:r>
            <w:r w:rsidRPr="0093503A">
              <w:rPr>
                <w:rFonts w:asciiTheme="majorHAnsi" w:hAnsiTheme="majorHAnsi" w:cstheme="majorHAnsi"/>
                <w:w w:val="90"/>
                <w:sz w:val="20"/>
                <w:szCs w:val="20"/>
              </w:rPr>
              <w:t>résztvevők utazási költségeihez való</w:t>
            </w:r>
            <w:r w:rsidRPr="0093503A">
              <w:rPr>
                <w:rFonts w:asciiTheme="majorHAnsi" w:hAnsiTheme="majorHAnsi" w:cstheme="majorHAnsi"/>
                <w:spacing w:val="-16"/>
                <w:w w:val="90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w w:val="90"/>
                <w:sz w:val="20"/>
                <w:szCs w:val="20"/>
              </w:rPr>
              <w:t>hozzájárulás.</w:t>
            </w:r>
          </w:p>
          <w:p w14:paraId="26591BFA" w14:textId="77777777" w:rsidR="00517463" w:rsidRPr="0093503A" w:rsidRDefault="00517463" w:rsidP="00517463">
            <w:pPr>
              <w:pStyle w:val="TableParagraph"/>
              <w:ind w:left="-8" w:right="5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9312C6" w14:textId="77777777" w:rsidR="00517463" w:rsidRPr="0093503A" w:rsidRDefault="00517463" w:rsidP="00517463">
            <w:pPr>
              <w:pStyle w:val="TableParagraph"/>
              <w:ind w:left="-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Finanszírozási mechanizmus: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egységköltség- hozzájárulás.</w:t>
            </w:r>
          </w:p>
          <w:p w14:paraId="7C43FE4F" w14:textId="77777777" w:rsidR="00517463" w:rsidRPr="0093503A" w:rsidRDefault="00517463" w:rsidP="00517463">
            <w:pPr>
              <w:pStyle w:val="TableParagraph"/>
              <w:ind w:left="-8" w:right="5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80085F" w14:textId="77777777" w:rsidR="00517463" w:rsidRPr="0093503A" w:rsidRDefault="00517463" w:rsidP="00517463">
            <w:pPr>
              <w:pStyle w:val="TableParagraph"/>
              <w:ind w:left="-8" w:right="54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Támogatási szabályok: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Az egyes résztvevők utazásának távolsága alapján. A pályázónak a kiindulás helye és a tevékenység helyszíne</w:t>
            </w:r>
            <w:r w:rsidRPr="0093503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40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 xml:space="preserve"> közötti távolságot kell feltüntetnie az Európai Bizottság által biztosított távolságkalkulátor segítségével</w:t>
            </w:r>
            <w:r w:rsidRPr="0093503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41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5CDFF19" w14:textId="77777777" w:rsidR="00517463" w:rsidRPr="0093503A" w:rsidRDefault="00517463" w:rsidP="00517463">
            <w:pPr>
              <w:pStyle w:val="TableParagraph"/>
              <w:ind w:left="26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Utazási távolság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AC05313" w14:textId="77777777" w:rsidR="00517463" w:rsidRPr="0093503A" w:rsidRDefault="00517463" w:rsidP="00517463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Standard utazás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F3FD672" w14:textId="77777777" w:rsidR="00517463" w:rsidRPr="0093503A" w:rsidRDefault="00517463" w:rsidP="00517463">
            <w:pPr>
              <w:pStyle w:val="TableParagraph"/>
              <w:ind w:left="84" w:right="7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Környezet-tudatos/</w:t>
            </w:r>
          </w:p>
          <w:p w14:paraId="3F12A563" w14:textId="77777777" w:rsidR="00517463" w:rsidRPr="0093503A" w:rsidRDefault="00517463" w:rsidP="00517463">
            <w:pPr>
              <w:pStyle w:val="TableParagraph"/>
              <w:ind w:left="84" w:right="7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környezet-kímélő</w:t>
            </w:r>
          </w:p>
          <w:p w14:paraId="495F95DD" w14:textId="77777777" w:rsidR="00517463" w:rsidRPr="0093503A" w:rsidRDefault="00517463" w:rsidP="00517463">
            <w:pPr>
              <w:pStyle w:val="TableParagraph"/>
              <w:ind w:left="84" w:right="7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b/>
                <w:sz w:val="20"/>
                <w:szCs w:val="20"/>
              </w:rPr>
              <w:t>utazás</w:t>
            </w:r>
          </w:p>
        </w:tc>
      </w:tr>
      <w:tr w:rsidR="00517463" w:rsidRPr="0093503A" w14:paraId="7E1828E6" w14:textId="77777777" w:rsidTr="003914A8">
        <w:trPr>
          <w:trHeight w:val="763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72B8095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F09218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A2184E1" w14:textId="77777777" w:rsidR="00517463" w:rsidRPr="0093503A" w:rsidRDefault="00517463" w:rsidP="00517463">
            <w:pPr>
              <w:pStyle w:val="TableParagraph"/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0–99 km-es távolság 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F35D44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23 EUR</w:t>
            </w:r>
          </w:p>
        </w:tc>
        <w:tc>
          <w:tcPr>
            <w:tcW w:w="1703" w:type="dxa"/>
            <w:shd w:val="clear" w:color="auto" w:fill="003399"/>
            <w:vAlign w:val="center"/>
          </w:tcPr>
          <w:p w14:paraId="0D4DD605" w14:textId="77777777" w:rsidR="00517463" w:rsidRPr="0093503A" w:rsidRDefault="00517463" w:rsidP="00517463">
            <w:pPr>
              <w:pStyle w:val="TableParagraph"/>
              <w:ind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7463" w:rsidRPr="0093503A" w14:paraId="3BADB636" w14:textId="77777777" w:rsidTr="002614E0">
        <w:trPr>
          <w:trHeight w:val="760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FE5EA66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5E4C28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69C732B" w14:textId="77777777" w:rsidR="00517463" w:rsidRPr="0093503A" w:rsidRDefault="00517463" w:rsidP="00517463">
            <w:pPr>
              <w:pStyle w:val="TableParagraph"/>
              <w:tabs>
                <w:tab w:val="left" w:pos="1297"/>
              </w:tabs>
              <w:ind w:left="83" w:righ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 xml:space="preserve">100–499 </w:t>
            </w:r>
            <w:r w:rsidRPr="0093503A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km-es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távolság</w:t>
            </w:r>
            <w:r w:rsidRPr="0093503A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AFB3441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180 EUR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2107037" w14:textId="77777777" w:rsidR="00517463" w:rsidRPr="0093503A" w:rsidRDefault="00517463" w:rsidP="00517463">
            <w:pPr>
              <w:pStyle w:val="TableParagraph"/>
              <w:ind w:left="84"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210 EUR</w:t>
            </w:r>
          </w:p>
        </w:tc>
      </w:tr>
      <w:tr w:rsidR="00517463" w:rsidRPr="0093503A" w14:paraId="4C7A3159" w14:textId="77777777" w:rsidTr="002614E0">
        <w:trPr>
          <w:trHeight w:val="762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234135B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2D74673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7B6930D" w14:textId="77777777" w:rsidR="00517463" w:rsidRPr="0093503A" w:rsidRDefault="00517463" w:rsidP="00517463">
            <w:pPr>
              <w:pStyle w:val="TableParagraph"/>
              <w:tabs>
                <w:tab w:val="left" w:pos="1294"/>
              </w:tabs>
              <w:ind w:left="83" w:righ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 xml:space="preserve">500–1999 </w:t>
            </w:r>
            <w:r w:rsidRPr="0093503A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km-es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távolság</w:t>
            </w:r>
            <w:r w:rsidRPr="0093503A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343B81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275 EUR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DB9F46" w14:textId="77777777" w:rsidR="00517463" w:rsidRPr="0093503A" w:rsidRDefault="00517463" w:rsidP="00517463">
            <w:pPr>
              <w:pStyle w:val="TableParagraph"/>
              <w:ind w:left="84"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320 EUR</w:t>
            </w:r>
          </w:p>
        </w:tc>
      </w:tr>
      <w:tr w:rsidR="00517463" w:rsidRPr="0093503A" w14:paraId="4C6BAC62" w14:textId="77777777" w:rsidTr="002614E0">
        <w:trPr>
          <w:trHeight w:val="760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6C3F2E9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4A8460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3C52567" w14:textId="77777777" w:rsidR="00517463" w:rsidRPr="0093503A" w:rsidRDefault="00517463" w:rsidP="00517463">
            <w:pPr>
              <w:pStyle w:val="TableParagraph"/>
              <w:tabs>
                <w:tab w:val="left" w:pos="1295"/>
              </w:tabs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2000–2999 km-es</w:t>
            </w:r>
          </w:p>
          <w:p w14:paraId="0D38A1AF" w14:textId="77777777" w:rsidR="00517463" w:rsidRPr="0093503A" w:rsidRDefault="00517463" w:rsidP="00517463">
            <w:pPr>
              <w:pStyle w:val="TableParagraph"/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távolság 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9F7211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360 EUR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E7D88F" w14:textId="77777777" w:rsidR="00517463" w:rsidRPr="0093503A" w:rsidRDefault="00517463" w:rsidP="00517463">
            <w:pPr>
              <w:pStyle w:val="TableParagraph"/>
              <w:ind w:left="84"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410 EUR</w:t>
            </w:r>
          </w:p>
        </w:tc>
      </w:tr>
      <w:tr w:rsidR="00517463" w:rsidRPr="0093503A" w14:paraId="2D1D2BC4" w14:textId="77777777" w:rsidTr="002614E0">
        <w:trPr>
          <w:trHeight w:val="760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9C0FB8C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B7F22CB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766A608" w14:textId="77777777" w:rsidR="00517463" w:rsidRPr="0093503A" w:rsidRDefault="00517463" w:rsidP="00517463">
            <w:pPr>
              <w:pStyle w:val="TableParagraph"/>
              <w:tabs>
                <w:tab w:val="left" w:pos="1295"/>
              </w:tabs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3000–3999 km-es</w:t>
            </w:r>
          </w:p>
          <w:p w14:paraId="77FC440A" w14:textId="77777777" w:rsidR="00517463" w:rsidRPr="0093503A" w:rsidRDefault="00517463" w:rsidP="00517463">
            <w:pPr>
              <w:pStyle w:val="TableParagraph"/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távolság 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3CB2A3F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530 EUR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207B0B" w14:textId="77777777" w:rsidR="00517463" w:rsidRPr="0093503A" w:rsidRDefault="00517463" w:rsidP="00517463">
            <w:pPr>
              <w:pStyle w:val="TableParagraph"/>
              <w:ind w:left="84"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610 EUR</w:t>
            </w:r>
          </w:p>
        </w:tc>
      </w:tr>
      <w:tr w:rsidR="00517463" w:rsidRPr="0093503A" w14:paraId="3A493CFC" w14:textId="77777777" w:rsidTr="003914A8">
        <w:trPr>
          <w:trHeight w:val="762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324BEB7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B55B61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F7F7D78" w14:textId="77777777" w:rsidR="00517463" w:rsidRPr="0093503A" w:rsidRDefault="00517463" w:rsidP="00517463">
            <w:pPr>
              <w:pStyle w:val="TableParagraph"/>
              <w:tabs>
                <w:tab w:val="left" w:pos="1295"/>
              </w:tabs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4000–7999 km-es</w:t>
            </w:r>
          </w:p>
          <w:p w14:paraId="78FD2747" w14:textId="77777777" w:rsidR="00517463" w:rsidRPr="0093503A" w:rsidRDefault="00517463" w:rsidP="00517463">
            <w:pPr>
              <w:pStyle w:val="TableParagraph"/>
              <w:ind w:left="83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távolság 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D8C1F6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820 EUR</w:t>
            </w:r>
          </w:p>
        </w:tc>
        <w:tc>
          <w:tcPr>
            <w:tcW w:w="1703" w:type="dxa"/>
            <w:shd w:val="clear" w:color="auto" w:fill="003399"/>
            <w:vAlign w:val="center"/>
          </w:tcPr>
          <w:p w14:paraId="7095B4E2" w14:textId="77777777" w:rsidR="00517463" w:rsidRPr="0093503A" w:rsidRDefault="00517463" w:rsidP="00517463">
            <w:pPr>
              <w:pStyle w:val="TableParagraph"/>
              <w:ind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7463" w:rsidRPr="0093503A" w14:paraId="5A9E96E5" w14:textId="77777777" w:rsidTr="003914A8">
        <w:trPr>
          <w:trHeight w:val="1031"/>
          <w:jc w:val="center"/>
        </w:trPr>
        <w:tc>
          <w:tcPr>
            <w:tcW w:w="154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B56531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7F7D3E2" w14:textId="77777777" w:rsidR="00517463" w:rsidRPr="0093503A" w:rsidRDefault="00517463" w:rsidP="005174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98838BB" w14:textId="77777777" w:rsidR="00517463" w:rsidRPr="0093503A" w:rsidRDefault="00517463" w:rsidP="00517463">
            <w:pPr>
              <w:pStyle w:val="TableParagraph"/>
              <w:ind w:left="83" w:righ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8000 km-es vagy nagyobb távolság esetén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9F5172E" w14:textId="77777777" w:rsidR="00517463" w:rsidRPr="0093503A" w:rsidRDefault="00517463" w:rsidP="00517463">
            <w:pPr>
              <w:pStyle w:val="TableParagraph"/>
              <w:ind w:left="85" w:right="12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503A">
              <w:rPr>
                <w:rFonts w:asciiTheme="majorHAnsi" w:hAnsiTheme="majorHAnsi" w:cstheme="majorHAnsi"/>
                <w:sz w:val="20"/>
                <w:szCs w:val="20"/>
              </w:rPr>
              <w:t>1500 EUR</w:t>
            </w:r>
          </w:p>
        </w:tc>
        <w:tc>
          <w:tcPr>
            <w:tcW w:w="1703" w:type="dxa"/>
            <w:shd w:val="clear" w:color="auto" w:fill="003399"/>
            <w:vAlign w:val="center"/>
          </w:tcPr>
          <w:p w14:paraId="6A8710DB" w14:textId="77777777" w:rsidR="00517463" w:rsidRPr="0093503A" w:rsidRDefault="00517463" w:rsidP="00517463">
            <w:pPr>
              <w:pStyle w:val="TableParagraph"/>
              <w:ind w:right="261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698BD6" w14:textId="77777777" w:rsidR="00517463" w:rsidRPr="0093503A" w:rsidRDefault="00517463" w:rsidP="005174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i/>
        </w:rPr>
      </w:pPr>
      <w:r w:rsidRPr="0093503A">
        <w:rPr>
          <w:rFonts w:asciiTheme="majorHAnsi" w:hAnsiTheme="majorHAnsi" w:cstheme="majorHAnsi"/>
          <w:i/>
        </w:rPr>
        <w:lastRenderedPageBreak/>
        <w:t>A Pécs és a célegyetem közötti távolság kizárólag az Európai Bizottság által közzétett Távolság Számláló (</w:t>
      </w:r>
      <w:proofErr w:type="spellStart"/>
      <w:r w:rsidRPr="0093503A">
        <w:rPr>
          <w:rFonts w:asciiTheme="majorHAnsi" w:hAnsiTheme="majorHAnsi" w:cstheme="majorHAnsi"/>
          <w:i/>
        </w:rPr>
        <w:t>Distance</w:t>
      </w:r>
      <w:proofErr w:type="spellEnd"/>
      <w:r w:rsidRPr="0093503A">
        <w:rPr>
          <w:rFonts w:asciiTheme="majorHAnsi" w:hAnsiTheme="majorHAnsi" w:cstheme="majorHAnsi"/>
          <w:i/>
        </w:rPr>
        <w:t xml:space="preserve"> </w:t>
      </w:r>
      <w:proofErr w:type="spellStart"/>
      <w:r w:rsidRPr="0093503A">
        <w:rPr>
          <w:rFonts w:asciiTheme="majorHAnsi" w:hAnsiTheme="majorHAnsi" w:cstheme="majorHAnsi"/>
          <w:i/>
        </w:rPr>
        <w:t>Calculator</w:t>
      </w:r>
      <w:proofErr w:type="spellEnd"/>
      <w:r w:rsidRPr="0093503A">
        <w:rPr>
          <w:rFonts w:asciiTheme="majorHAnsi" w:hAnsiTheme="majorHAnsi" w:cstheme="majorHAnsi"/>
          <w:i/>
        </w:rPr>
        <w:t>) segítségével számítható ki:</w:t>
      </w:r>
    </w:p>
    <w:p w14:paraId="23264F02" w14:textId="77777777" w:rsidR="00517463" w:rsidRPr="0093503A" w:rsidRDefault="00517463" w:rsidP="005174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FB1D765" w14:textId="77777777" w:rsidR="00517463" w:rsidRPr="0093503A" w:rsidRDefault="00000000" w:rsidP="005174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hyperlink r:id="rId11" w:history="1">
        <w:r w:rsidR="00517463" w:rsidRPr="0093503A">
          <w:rPr>
            <w:rStyle w:val="Hiperhivatkozs"/>
            <w:rFonts w:asciiTheme="majorHAnsi" w:hAnsiTheme="majorHAnsi" w:cstheme="majorHAnsi"/>
          </w:rPr>
          <w:t>http://ec.europa.eu/programmes/erasmus-plus/tools/distance_en.htm</w:t>
        </w:r>
      </w:hyperlink>
      <w:r w:rsidR="00517463" w:rsidRPr="0093503A">
        <w:rPr>
          <w:rFonts w:asciiTheme="majorHAnsi" w:hAnsiTheme="majorHAnsi" w:cstheme="majorHAnsi"/>
        </w:rPr>
        <w:t xml:space="preserve"> </w:t>
      </w:r>
    </w:p>
    <w:p w14:paraId="34A10519" w14:textId="77777777" w:rsidR="00517463" w:rsidRPr="0093503A" w:rsidRDefault="00517463" w:rsidP="005174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04D6DE5" w14:textId="77777777" w:rsidR="00517463" w:rsidRPr="0093503A" w:rsidRDefault="00517463" w:rsidP="005174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3503A">
        <w:rPr>
          <w:rFonts w:asciiTheme="majorHAnsi" w:hAnsiTheme="majorHAnsi" w:cstheme="majorHAnsi"/>
        </w:rPr>
        <w:t xml:space="preserve">Az Erasmus+ támogatás csupán </w:t>
      </w:r>
      <w:r w:rsidRPr="0093503A">
        <w:rPr>
          <w:rFonts w:asciiTheme="majorHAnsi" w:hAnsiTheme="majorHAnsi" w:cstheme="majorHAnsi"/>
          <w:i/>
        </w:rPr>
        <w:t xml:space="preserve">hozzájárul </w:t>
      </w:r>
      <w:r w:rsidRPr="0093503A">
        <w:rPr>
          <w:rFonts w:asciiTheme="majorHAnsi" w:hAnsiTheme="majorHAnsi" w:cstheme="majorHAnsi"/>
        </w:rPr>
        <w:t>a külföldi út megvalósításához, a kiutazás és a kinn-tartózkodás teljes költségét nem minden esetben fedezi.</w:t>
      </w:r>
    </w:p>
    <w:p w14:paraId="557DAD8D" w14:textId="77777777" w:rsidR="00517463" w:rsidRPr="0093503A" w:rsidRDefault="00517463" w:rsidP="00517463">
      <w:pPr>
        <w:ind w:left="567" w:hanging="567"/>
        <w:jc w:val="both"/>
        <w:rPr>
          <w:rFonts w:asciiTheme="majorHAnsi" w:hAnsiTheme="majorHAnsi" w:cstheme="majorHAnsi"/>
          <w:b/>
        </w:rPr>
      </w:pPr>
    </w:p>
    <w:p w14:paraId="5177DF60" w14:textId="77777777" w:rsidR="00517463" w:rsidRPr="0093503A" w:rsidRDefault="00517463" w:rsidP="00517463">
      <w:pPr>
        <w:ind w:left="567" w:hanging="567"/>
        <w:jc w:val="center"/>
        <w:rPr>
          <w:rFonts w:asciiTheme="majorHAnsi" w:hAnsiTheme="majorHAnsi" w:cstheme="majorHAnsi"/>
          <w:b/>
          <w:i/>
        </w:rPr>
      </w:pPr>
      <w:r w:rsidRPr="0093503A">
        <w:rPr>
          <w:rFonts w:asciiTheme="majorHAnsi" w:hAnsiTheme="majorHAnsi" w:cstheme="majorHAnsi"/>
          <w:b/>
          <w:i/>
        </w:rPr>
        <w:t>A mobilitási időszak kezdő napja az a nap, amelyen a résztvevő először köteles a fogadó</w:t>
      </w:r>
    </w:p>
    <w:p w14:paraId="7EC147F4" w14:textId="77777777" w:rsidR="00517463" w:rsidRPr="0093503A" w:rsidRDefault="00517463" w:rsidP="00517463">
      <w:pPr>
        <w:ind w:left="567" w:hanging="567"/>
        <w:jc w:val="center"/>
        <w:rPr>
          <w:rFonts w:asciiTheme="majorHAnsi" w:hAnsiTheme="majorHAnsi" w:cstheme="majorHAnsi"/>
          <w:b/>
          <w:i/>
        </w:rPr>
      </w:pPr>
      <w:r w:rsidRPr="0093503A">
        <w:rPr>
          <w:rFonts w:asciiTheme="majorHAnsi" w:hAnsiTheme="majorHAnsi" w:cstheme="majorHAnsi"/>
          <w:b/>
          <w:i/>
        </w:rPr>
        <w:t>szervezetnél, egyetemen megjelenni, a befejező napja az a nap, amikor a résztvevő a fogadó</w:t>
      </w:r>
    </w:p>
    <w:p w14:paraId="57F252ED" w14:textId="77777777" w:rsidR="00517463" w:rsidRPr="0093503A" w:rsidRDefault="00517463" w:rsidP="00517463">
      <w:pPr>
        <w:ind w:left="567" w:hanging="567"/>
        <w:jc w:val="center"/>
        <w:rPr>
          <w:rFonts w:asciiTheme="majorHAnsi" w:hAnsiTheme="majorHAnsi" w:cstheme="majorHAnsi"/>
          <w:b/>
          <w:i/>
        </w:rPr>
      </w:pPr>
      <w:r w:rsidRPr="0093503A">
        <w:rPr>
          <w:rFonts w:asciiTheme="majorHAnsi" w:hAnsiTheme="majorHAnsi" w:cstheme="majorHAnsi"/>
          <w:b/>
          <w:i/>
        </w:rPr>
        <w:t>szervezetnél, egyetemen utoljára köteles megjelenni.</w:t>
      </w:r>
    </w:p>
    <w:p w14:paraId="06642E89" w14:textId="77777777" w:rsidR="00517463" w:rsidRPr="0093503A" w:rsidRDefault="00517463" w:rsidP="00517463">
      <w:pPr>
        <w:shd w:val="clear" w:color="auto" w:fill="FFFFFF"/>
        <w:rPr>
          <w:rFonts w:asciiTheme="majorHAnsi" w:hAnsiTheme="majorHAnsi" w:cstheme="majorHAnsi"/>
        </w:rPr>
      </w:pPr>
    </w:p>
    <w:p w14:paraId="1E019CEC" w14:textId="77777777" w:rsidR="00181197" w:rsidRPr="0093503A" w:rsidRDefault="00181197" w:rsidP="00517463">
      <w:pPr>
        <w:shd w:val="clear" w:color="auto" w:fill="FFFFFF"/>
        <w:jc w:val="center"/>
        <w:rPr>
          <w:rFonts w:asciiTheme="majorHAnsi" w:hAnsiTheme="majorHAnsi" w:cstheme="majorHAnsi"/>
          <w:b/>
          <w:bCs/>
        </w:rPr>
      </w:pPr>
      <w:r w:rsidRPr="0093503A">
        <w:rPr>
          <w:rFonts w:asciiTheme="majorHAnsi" w:hAnsiTheme="majorHAnsi" w:cstheme="majorHAnsi"/>
          <w:b/>
          <w:bCs/>
        </w:rPr>
        <w:t>Az Erasmus+ oktatói mobilitási programban résztvevő partnerintézményeink</w:t>
      </w:r>
    </w:p>
    <w:p w14:paraId="56E8E894" w14:textId="3EEDC275" w:rsidR="00181197" w:rsidRPr="0093503A" w:rsidRDefault="00181197" w:rsidP="00517463">
      <w:pPr>
        <w:shd w:val="clear" w:color="auto" w:fill="FFFFFF"/>
        <w:jc w:val="center"/>
        <w:rPr>
          <w:rFonts w:asciiTheme="majorHAnsi" w:hAnsiTheme="majorHAnsi" w:cstheme="majorHAnsi"/>
          <w:b/>
          <w:bCs/>
        </w:rPr>
      </w:pPr>
      <w:r w:rsidRPr="0093503A">
        <w:rPr>
          <w:rFonts w:asciiTheme="majorHAnsi" w:hAnsiTheme="majorHAnsi" w:cstheme="majorHAnsi"/>
          <w:b/>
          <w:bCs/>
        </w:rPr>
        <w:t>(munkatervet kizárólag csak az alábbi intézményektől fogadunk el):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903"/>
        <w:gridCol w:w="941"/>
        <w:gridCol w:w="988"/>
      </w:tblGrid>
      <w:tr w:rsidR="00CF18AC" w:rsidRPr="0093503A" w14:paraId="403F02D5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5CA95D1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Fogadó intézmény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2BD9323F" w14:textId="77777777" w:rsidR="0085611B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ERASMUS</w:t>
            </w:r>
          </w:p>
          <w:p w14:paraId="686572C7" w14:textId="416A7361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kódja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08DF994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oktatók</w:t>
            </w:r>
          </w:p>
          <w:p w14:paraId="16F12F50" w14:textId="78A91034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száma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4417D2A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időtartam</w:t>
            </w:r>
          </w:p>
          <w:p w14:paraId="3DB0BC92" w14:textId="47D7FD28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eastAsia="hu-HU"/>
              </w:rPr>
              <w:t>(hét)</w:t>
            </w:r>
          </w:p>
        </w:tc>
      </w:tr>
      <w:tr w:rsidR="00881EC3" w:rsidRPr="0093503A" w14:paraId="291E725C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E65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Karl-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Franzens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-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Universität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Graz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A7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A GRAZ01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B0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057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31C7E9CB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BE1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Universität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Wien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30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A WIEN01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6D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6D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3948E62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4BD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Université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Liège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84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B LIEGE01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72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0B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3DFCEC9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72B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Palacky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University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Olomouc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4D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CZ OLOMOUC01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5C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87A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48D65B0C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FFA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West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Bohemia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DD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CZ PLZEN01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1B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36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1BB1685B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A08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University of Bayreuth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A7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BAYREUT01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73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F6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3DC313E4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828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Freie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Berlin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33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BERLIN01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20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01A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1530AFD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794" w14:textId="79CC0AD9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Europa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Viadrina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, Frankfurt</w:t>
            </w:r>
            <w:r w:rsidR="0035368C"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(Oder)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C3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FRANKFU08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9D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E0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7E119BA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4A5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Georg-August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Universität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Göttingen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BD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GOTTING01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11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CFA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3CAF03F5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2C0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Cologne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20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KOLN01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202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DC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6B45205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A0F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Philipps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Marburg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F2E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MARBURG01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19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D9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575568D3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B14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University of Potsdam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02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POTSDAM01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27A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B6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3578765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5686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Universität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Regensburg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0D6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 REGENSB01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1AA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0A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6058E563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494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Extremadura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903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BADAJOZ01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76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C88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5DEA234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EFB7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Burgos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6C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BURGOS01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4D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7FA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5F105BD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E18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Universidad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de La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Coruna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B1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LA-CORU01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C0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97B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2F84EEE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98E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Universidad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Publica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Navarra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14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PAMPLON02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56A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37D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6757DB8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573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Universidade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de Santiago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Compostela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2B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SANTIAG01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B0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34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6BC6A45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DF1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Universidad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Pablo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Olavide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0D1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SEVILLA03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3B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5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4156C4B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BE2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València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B22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E VALENCI01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69D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8B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4466BFAA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C1CD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University of Bordeaux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21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BORDEAU58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CF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0A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949BC5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FAA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CY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Cergy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Paris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Université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D9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CERGY-P11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CC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D2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3344DCE7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C33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Universite de Nantes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82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NANTES01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61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13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5C2D2B36" w14:textId="77777777" w:rsidTr="009A085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5A9D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Université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Paris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Nanterre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AE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PARIS10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38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5A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4A5C4E37" w14:textId="77777777" w:rsidTr="009A085A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4C3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Université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Paris-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Saclay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72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PARIS481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21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CD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781CACB" w14:textId="77777777" w:rsidTr="00A10F8D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0F7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Université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Rennes1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9D8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 RENNES01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02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93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7A788D5C" w14:textId="77777777" w:rsidTr="00A10F8D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24F" w14:textId="1F9A3410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lastRenderedPageBreak/>
              <w:t xml:space="preserve">National and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Kapodistrian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Athens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BE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G ATHINE01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6B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F1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7B7CAB42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619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College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Applied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Sciences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"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Lavoslav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Ruzicka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" in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Vukovar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25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HR VUKOVAR01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C8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D8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5CAE7B9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D4C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Universitá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Di Bologna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33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I BOLOGNA01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9D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A0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360C618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58F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Camerino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84C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I CAMERIN01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19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4A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62302541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1D6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Foggia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BC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I FOGGIA03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B24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03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42970708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CAE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Vilnius University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38E6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LT VILNIUS01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26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C9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85FD50D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936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Mykolo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Romerio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Universitetas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527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LT VILNIUS06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60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A2F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93503A" w14:paraId="0506E0B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0FA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International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Slavic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University “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Gavrilo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Romanovich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Derzhavin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”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BE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MK SKOPJE19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5F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6C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93503A" w14:paraId="572BA8E6" w14:textId="77777777" w:rsidTr="00881EC3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1FB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University of Groningen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F6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NL GRONING01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11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20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05AC392D" w14:textId="77777777" w:rsidTr="00881EC3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E77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Minho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AC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 BRAGA01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6E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6F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3766EA71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ED7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Universidade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Nova De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Lisboa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07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 LISBOA03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1D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B6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559280D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156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Lodz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936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PL LODZ01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07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A7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635D5F" w:rsidRPr="0093503A" w14:paraId="7E269E8A" w14:textId="77777777" w:rsidTr="00722482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4B50" w14:textId="6328F3CF" w:rsidR="00DB37BD" w:rsidRPr="0093503A" w:rsidRDefault="00DB37BD" w:rsidP="00517463">
            <w:pPr>
              <w:rPr>
                <w:rFonts w:asciiTheme="majorHAnsi" w:hAnsiTheme="majorHAnsi" w:cstheme="majorHAnsi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sz w:val="22"/>
                <w:szCs w:val="22"/>
              </w:rPr>
              <w:t>Maria Curie-</w:t>
            </w:r>
            <w:proofErr w:type="spellStart"/>
            <w:r w:rsidRPr="0093503A">
              <w:rPr>
                <w:rFonts w:asciiTheme="majorHAnsi" w:hAnsiTheme="majorHAnsi" w:cstheme="majorHAnsi"/>
                <w:sz w:val="22"/>
                <w:szCs w:val="22"/>
              </w:rPr>
              <w:t>Sklodowska</w:t>
            </w:r>
            <w:proofErr w:type="spellEnd"/>
            <w:r w:rsidRPr="0093503A">
              <w:rPr>
                <w:rFonts w:asciiTheme="majorHAnsi" w:hAnsiTheme="majorHAnsi" w:cstheme="majorHAnsi"/>
                <w:sz w:val="22"/>
                <w:szCs w:val="22"/>
              </w:rPr>
              <w:t xml:space="preserve"> University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34C5" w14:textId="351E4030" w:rsidR="00DB37BD" w:rsidRPr="0093503A" w:rsidRDefault="00DB37BD" w:rsidP="0051746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sz w:val="22"/>
                <w:szCs w:val="22"/>
              </w:rPr>
              <w:t>PL LUBLIN01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5B63" w14:textId="6491522B" w:rsidR="00DB37BD" w:rsidRPr="0093503A" w:rsidRDefault="00DB37BD" w:rsidP="0051746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9511" w14:textId="360A2891" w:rsidR="00DB37BD" w:rsidRPr="0093503A" w:rsidRDefault="00DB37BD" w:rsidP="0051746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C909E7" w:rsidRPr="0093503A" w14:paraId="0756BA3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B078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Uniwersitet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Warminsko-Mazurski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w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Olsztynie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40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PL OLSZTYN01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BE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C7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456E818B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46C" w14:textId="26BEB7F3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Nicolaus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Copernicus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Torun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BA0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PL TORUN01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46C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79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93503A" w14:paraId="31DA07A2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05B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Uniwersytet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Wroclawcki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B40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PL WROCLAW01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281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1D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2A91F186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9E5B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Universitatea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Babes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-Bolyai Cluj-Napoca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DF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RO CLUJNAP01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674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9F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93503A" w14:paraId="7041157A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E86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Universitatea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Sapientia Cluj-Napoca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10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RO CLUJNAP07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59D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EBB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93503A" w14:paraId="1EF39094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658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University of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Örebro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C8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S OREBRO01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0F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15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630A5275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151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Comenius University in Bratislava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1D8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SK BRATISL02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5C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40E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C909E7" w:rsidRPr="0093503A" w14:paraId="7483E30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38A2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Istanbul</w:t>
            </w:r>
            <w:proofErr w:type="spellEnd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Universitesi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86F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TR ISTANBU03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C09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A93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93503A" w14:paraId="280C5251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7F22" w14:textId="77777777" w:rsidR="00CF18AC" w:rsidRPr="0093503A" w:rsidRDefault="00CF18AC" w:rsidP="00517463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London South Bank University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65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UK LONDON066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FC2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965" w14:textId="77777777" w:rsidR="00CF18AC" w:rsidRPr="0093503A" w:rsidRDefault="00CF18AC" w:rsidP="0051746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</w:pPr>
            <w:r w:rsidRPr="0093503A">
              <w:rPr>
                <w:rFonts w:asciiTheme="majorHAnsi" w:hAnsiTheme="majorHAnsi" w:cstheme="majorHAns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</w:tbl>
    <w:p w14:paraId="6953E8F2" w14:textId="4249C93D" w:rsidR="00181197" w:rsidRPr="0093503A" w:rsidRDefault="00181197" w:rsidP="00517463">
      <w:pPr>
        <w:shd w:val="clear" w:color="auto" w:fill="FFFFFF"/>
        <w:rPr>
          <w:rFonts w:asciiTheme="majorHAnsi" w:hAnsiTheme="majorHAnsi" w:cstheme="majorHAnsi"/>
        </w:rPr>
      </w:pPr>
    </w:p>
    <w:p w14:paraId="6FABA58B" w14:textId="77777777" w:rsidR="00181197" w:rsidRPr="0093503A" w:rsidRDefault="00181197" w:rsidP="00517463">
      <w:pPr>
        <w:shd w:val="clear" w:color="auto" w:fill="FFFFFF"/>
        <w:rPr>
          <w:rFonts w:asciiTheme="majorHAnsi" w:hAnsiTheme="majorHAnsi" w:cstheme="majorHAnsi"/>
          <w:color w:val="003399"/>
        </w:rPr>
      </w:pPr>
    </w:p>
    <w:p w14:paraId="7EE7B964" w14:textId="241D4AB9" w:rsidR="00FE7ED1" w:rsidRPr="0093503A" w:rsidRDefault="00FE7ED1" w:rsidP="00517463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3399"/>
        </w:rPr>
      </w:pPr>
      <w:r w:rsidRPr="0093503A">
        <w:rPr>
          <w:rFonts w:asciiTheme="majorHAnsi" w:hAnsiTheme="majorHAnsi" w:cstheme="majorHAnsi"/>
          <w:b/>
          <w:bCs/>
          <w:color w:val="003399"/>
        </w:rPr>
        <w:t>Sikeres pályázást kívánunk!</w:t>
      </w:r>
    </w:p>
    <w:p w14:paraId="1AC0258B" w14:textId="77777777" w:rsidR="00FE7ED1" w:rsidRPr="0093503A" w:rsidRDefault="00FE7ED1" w:rsidP="00517463">
      <w:pPr>
        <w:rPr>
          <w:rFonts w:asciiTheme="majorHAnsi" w:hAnsiTheme="majorHAnsi" w:cstheme="majorHAnsi"/>
        </w:rPr>
      </w:pPr>
    </w:p>
    <w:p w14:paraId="68F502B7" w14:textId="77777777" w:rsidR="002262AF" w:rsidRPr="0093503A" w:rsidRDefault="002262AF" w:rsidP="00517463">
      <w:pPr>
        <w:rPr>
          <w:rFonts w:asciiTheme="majorHAnsi" w:hAnsiTheme="majorHAnsi" w:cstheme="majorHAnsi"/>
        </w:rPr>
      </w:pPr>
    </w:p>
    <w:sectPr w:rsidR="002262AF" w:rsidRPr="0093503A">
      <w:headerReference w:type="default" r:id="rId12"/>
      <w:footerReference w:type="default" r:id="rId13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C0DA" w14:textId="77777777" w:rsidR="00BE7519" w:rsidRDefault="00BE7519">
      <w:r>
        <w:separator/>
      </w:r>
    </w:p>
  </w:endnote>
  <w:endnote w:type="continuationSeparator" w:id="0">
    <w:p w14:paraId="097F8372" w14:textId="77777777" w:rsidR="00BE7519" w:rsidRDefault="00BE7519">
      <w:r>
        <w:continuationSeparator/>
      </w:r>
    </w:p>
  </w:endnote>
  <w:endnote w:type="continuationNotice" w:id="1">
    <w:p w14:paraId="37C77104" w14:textId="77777777" w:rsidR="00BE7519" w:rsidRDefault="00BE7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3C51" w14:textId="77777777" w:rsidR="00CD4A40" w:rsidRDefault="00AB3631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9F2459" wp14:editId="6F4242F8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B076" w14:textId="77777777" w:rsidR="00960FF4" w:rsidRPr="00B43810" w:rsidRDefault="00AB363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55259660" w14:textId="77777777" w:rsidR="00960FF4" w:rsidRPr="00B43810" w:rsidRDefault="00AB363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>(72) 501-599 /23355 e-mail: dekan@ajk.pte.hu</w:t>
                          </w:r>
                        </w:p>
                        <w:p w14:paraId="1E06D64A" w14:textId="77777777" w:rsidR="00CD4A40" w:rsidRPr="00960FF4" w:rsidRDefault="0000000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2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" filled="f" stroked="f">
              <v:fill opacity="32896f"/>
              <v:textbox inset="0,0,1.5mm,0">
                <w:txbxContent>
                  <w:p w14:paraId="75D3B076" w14:textId="77777777" w:rsidR="00960FF4" w:rsidRPr="00B43810" w:rsidRDefault="00AB363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55259660" w14:textId="77777777" w:rsidR="00960FF4" w:rsidRPr="00B43810" w:rsidRDefault="00AB363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>(72) 501-599 /23355 e-mail: dekan@ajk.pte.hu</w:t>
                    </w:r>
                  </w:p>
                  <w:p w14:paraId="1E06D64A" w14:textId="77777777" w:rsidR="00CD4A40" w:rsidRPr="00960FF4" w:rsidRDefault="0000000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6263" w14:textId="77777777" w:rsidR="00BE7519" w:rsidRDefault="00BE7519">
      <w:r>
        <w:separator/>
      </w:r>
    </w:p>
  </w:footnote>
  <w:footnote w:type="continuationSeparator" w:id="0">
    <w:p w14:paraId="53DF831A" w14:textId="77777777" w:rsidR="00BE7519" w:rsidRDefault="00BE7519">
      <w:r>
        <w:continuationSeparator/>
      </w:r>
    </w:p>
  </w:footnote>
  <w:footnote w:type="continuationNotice" w:id="1">
    <w:p w14:paraId="0A45A2F8" w14:textId="77777777" w:rsidR="00BE7519" w:rsidRDefault="00BE7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C30B" w14:textId="77777777" w:rsidR="00CD4A40" w:rsidRDefault="00AB3631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55D2497" wp14:editId="015184BC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101FB9" w14:textId="77777777" w:rsidR="00ED2959" w:rsidRDefault="00AB3631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B3631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5D2497" id="Ellipszis 4" o:spid="_x0000_s1026" style="position:absolute;margin-left:9.25pt;margin-top:209.55pt;width:20.4pt;height:30.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" o:allowincell="f" fillcolor="#039" stroked="f" strokeweight="1pt">
              <v:stroke joinstyle="miter"/>
              <v:textbox inset="0,,0">
                <w:txbxContent>
                  <w:p w14:paraId="5C101FB9" w14:textId="77777777" w:rsidR="00ED2959" w:rsidRDefault="00AB3631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AB3631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5DC58A" wp14:editId="3B6FFD2D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ACF5" w14:textId="77777777" w:rsidR="00CD4A40" w:rsidRPr="00823DBC" w:rsidRDefault="00AB3631" w:rsidP="00CD4A40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823DBC">
                            <w:rPr>
                              <w:rFonts w:ascii="H-OptimaNormal" w:hAnsi="H-OptimaNormal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DC5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" filled="f" stroked="f">
              <v:fill opacity="32896f"/>
              <v:textbox inset="0,0,1.5mm,0">
                <w:txbxContent>
                  <w:p w14:paraId="533FACF5" w14:textId="77777777" w:rsidR="00CD4A40" w:rsidRPr="00823DBC" w:rsidRDefault="00AB3631" w:rsidP="00CD4A40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823DBC">
                      <w:rPr>
                        <w:rFonts w:ascii="H-OptimaNormal" w:hAnsi="H-OptimaNormal"/>
                      </w:rPr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0759C" wp14:editId="73BCC420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79363" w14:textId="77777777" w:rsidR="00CD4A40" w:rsidRPr="00823DBC" w:rsidRDefault="00AB3631" w:rsidP="00823DBC">
                          <w:pPr>
                            <w:pStyle w:val="CSZERZO"/>
                          </w:pPr>
                          <w:r w:rsidRPr="00823DBC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0759C" id="Text Box 2" o:spid="_x0000_s1028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09E79363" w14:textId="77777777" w:rsidR="00CD4A40" w:rsidRPr="00823DBC" w:rsidRDefault="00AB3631" w:rsidP="00823DBC">
                    <w:pPr>
                      <w:pStyle w:val="CSZERZO"/>
                    </w:pPr>
                    <w:r w:rsidRPr="00823DBC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w:drawing>
        <wp:anchor distT="0" distB="0" distL="114300" distR="114300" simplePos="0" relativeHeight="251658243" behindDoc="1" locked="0" layoutInCell="1" allowOverlap="1" wp14:anchorId="2BBCF364" wp14:editId="0AD20F3C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7" name="Kép 7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2451">
    <w:abstractNumId w:val="2"/>
  </w:num>
  <w:num w:numId="2" w16cid:durableId="2138602446">
    <w:abstractNumId w:val="1"/>
  </w:num>
  <w:num w:numId="3" w16cid:durableId="844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jcyNDQ2NDUxMjBR0lEKTi0uzszPAykwqgUAVG066CwAAAA="/>
  </w:docVars>
  <w:rsids>
    <w:rsidRoot w:val="00AB3631"/>
    <w:rsid w:val="000E263B"/>
    <w:rsid w:val="000F0AAF"/>
    <w:rsid w:val="00160422"/>
    <w:rsid w:val="00170253"/>
    <w:rsid w:val="00181197"/>
    <w:rsid w:val="001A0FE9"/>
    <w:rsid w:val="001D0599"/>
    <w:rsid w:val="002262AF"/>
    <w:rsid w:val="002A302F"/>
    <w:rsid w:val="0030679B"/>
    <w:rsid w:val="0035368C"/>
    <w:rsid w:val="003914A8"/>
    <w:rsid w:val="003E615A"/>
    <w:rsid w:val="00430FCF"/>
    <w:rsid w:val="0046661C"/>
    <w:rsid w:val="004920C6"/>
    <w:rsid w:val="004B028F"/>
    <w:rsid w:val="004D04DB"/>
    <w:rsid w:val="00517463"/>
    <w:rsid w:val="00537BA4"/>
    <w:rsid w:val="00561ED4"/>
    <w:rsid w:val="00575C46"/>
    <w:rsid w:val="006128C3"/>
    <w:rsid w:val="00635D5F"/>
    <w:rsid w:val="0067403A"/>
    <w:rsid w:val="006C18EC"/>
    <w:rsid w:val="006D3A60"/>
    <w:rsid w:val="00722482"/>
    <w:rsid w:val="00785CB9"/>
    <w:rsid w:val="007A3B8C"/>
    <w:rsid w:val="0085611B"/>
    <w:rsid w:val="00876A6B"/>
    <w:rsid w:val="00881EC3"/>
    <w:rsid w:val="008E1860"/>
    <w:rsid w:val="008E6951"/>
    <w:rsid w:val="008F282F"/>
    <w:rsid w:val="0093503A"/>
    <w:rsid w:val="0094355A"/>
    <w:rsid w:val="00943C80"/>
    <w:rsid w:val="009A011F"/>
    <w:rsid w:val="009A03E3"/>
    <w:rsid w:val="009A085A"/>
    <w:rsid w:val="009D3099"/>
    <w:rsid w:val="00A10F8D"/>
    <w:rsid w:val="00A34692"/>
    <w:rsid w:val="00A91E87"/>
    <w:rsid w:val="00AB3631"/>
    <w:rsid w:val="00B84635"/>
    <w:rsid w:val="00BB612F"/>
    <w:rsid w:val="00BE7519"/>
    <w:rsid w:val="00BF0C5F"/>
    <w:rsid w:val="00C235E7"/>
    <w:rsid w:val="00C24B7F"/>
    <w:rsid w:val="00C909E7"/>
    <w:rsid w:val="00CF18AC"/>
    <w:rsid w:val="00CF3B74"/>
    <w:rsid w:val="00D37DE0"/>
    <w:rsid w:val="00DB0B3D"/>
    <w:rsid w:val="00DB37BD"/>
    <w:rsid w:val="00DE7290"/>
    <w:rsid w:val="00E943F0"/>
    <w:rsid w:val="00EC2DD6"/>
    <w:rsid w:val="00EC3DB7"/>
    <w:rsid w:val="00F145E2"/>
    <w:rsid w:val="00F578A0"/>
    <w:rsid w:val="00F62A40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312"/>
  <w15:chartTrackingRefBased/>
  <w15:docId w15:val="{88783C22-2DE3-42AA-BF0C-2283643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AB3631"/>
    <w:pPr>
      <w:spacing w:after="0" w:line="240" w:lineRule="auto"/>
      <w:jc w:val="right"/>
    </w:pPr>
    <w:rPr>
      <w:rFonts w:ascii="H-OptimaNormal" w:eastAsia="Times New Roman" w:hAnsi="H-OptimaNormal" w:cs="Times New Roman"/>
      <w:color w:val="003399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rsid w:val="00AB363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B3631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rsid w:val="00AB3631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B3631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Hiperhivatkozs">
    <w:name w:val="Hyperlink"/>
    <w:unhideWhenUsed/>
    <w:rsid w:val="00AB3631"/>
    <w:rPr>
      <w:color w:val="0000FF"/>
      <w:u w:val="single"/>
    </w:rPr>
  </w:style>
  <w:style w:type="paragraph" w:styleId="NormlWeb">
    <w:name w:val="Normal (Web)"/>
    <w:basedOn w:val="Norml"/>
    <w:unhideWhenUsed/>
    <w:rsid w:val="00AB363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AB3631"/>
    <w:pPr>
      <w:ind w:left="720"/>
      <w:contextualSpacing/>
    </w:pPr>
    <w:rPr>
      <w:rFonts w:eastAsia="Calibri"/>
      <w:lang w:eastAsia="hu-HU"/>
    </w:rPr>
  </w:style>
  <w:style w:type="character" w:styleId="Oldalszm">
    <w:name w:val="page number"/>
    <w:basedOn w:val="Bekezdsalapbettpusa"/>
    <w:uiPriority w:val="99"/>
    <w:unhideWhenUsed/>
    <w:rsid w:val="00AB3631"/>
  </w:style>
  <w:style w:type="paragraph" w:customStyle="1" w:styleId="Bullet-Dot">
    <w:name w:val="Bullet-Dot"/>
    <w:basedOn w:val="Norml"/>
    <w:rsid w:val="00FE7ED1"/>
    <w:pPr>
      <w:numPr>
        <w:numId w:val="2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FE7ED1"/>
  </w:style>
  <w:style w:type="paragraph" w:styleId="Szvegtrzs">
    <w:name w:val="Body Text"/>
    <w:basedOn w:val="Norml"/>
    <w:link w:val="SzvegtrzsChar"/>
    <w:rsid w:val="00FE7ED1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FE7ED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TableParagraph">
    <w:name w:val="Table Paragraph"/>
    <w:basedOn w:val="Norml"/>
    <w:uiPriority w:val="1"/>
    <w:qFormat/>
    <w:rsid w:val="00FE7ED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table" w:styleId="Rcsostblzat">
    <w:name w:val="Table Grid"/>
    <w:basedOn w:val="Normltblzat"/>
    <w:uiPriority w:val="39"/>
    <w:rsid w:val="00C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f6a2b-02a2-4fcb-af53-03925667f2b3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6" ma:contentTypeDescription="Új dokumentum létrehozása." ma:contentTypeScope="" ma:versionID="0f3f2336b9fbec7dfb17dccd03ef18b0">
  <xsd:schema xmlns:xsd="http://www.w3.org/2001/XMLSchema" xmlns:xs="http://www.w3.org/2001/XMLSchema" xmlns:p="http://schemas.microsoft.com/office/2006/metadata/properties" xmlns:ns2="674f6a2b-02a2-4fcb-af53-03925667f2b3" xmlns:ns3="4a43c089-d840-4a6a-b6b1-131e21dd7b06" xmlns:ns4="38679f5b-e7fa-4e14-9d50-6f29e2420584" targetNamespace="http://schemas.microsoft.com/office/2006/metadata/properties" ma:root="true" ma:fieldsID="404fb66a25f2ef6c9159a00e52b9bb54" ns2:_="" ns3:_="" ns4:_="">
    <xsd:import namespace="674f6a2b-02a2-4fcb-af53-03925667f2b3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5EA7F-33C4-44B8-8DAD-C1400D5B4892}">
  <ds:schemaRefs>
    <ds:schemaRef ds:uri="http://schemas.microsoft.com/office/2006/metadata/properties"/>
    <ds:schemaRef ds:uri="http://schemas.microsoft.com/office/infopath/2007/PartnerControls"/>
    <ds:schemaRef ds:uri="674f6a2b-02a2-4fcb-af53-03925667f2b3"/>
    <ds:schemaRef ds:uri="38679f5b-e7fa-4e14-9d50-6f29e2420584"/>
  </ds:schemaRefs>
</ds:datastoreItem>
</file>

<file path=customXml/itemProps2.xml><?xml version="1.0" encoding="utf-8"?>
<ds:datastoreItem xmlns:ds="http://schemas.openxmlformats.org/officeDocument/2006/customXml" ds:itemID="{C2ED336D-0797-454E-86FD-FE42B72A1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E5E03-1ABD-4678-8381-5FCB0D84B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1381</Words>
  <Characters>9534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 Katalin</dc:creator>
  <cp:keywords/>
  <dc:description/>
  <cp:lastModifiedBy>Bodor Katalin</cp:lastModifiedBy>
  <cp:revision>15</cp:revision>
  <dcterms:created xsi:type="dcterms:W3CDTF">2022-11-29T10:16:00Z</dcterms:created>
  <dcterms:modified xsi:type="dcterms:W3CDTF">2022-11-29T10:25:00Z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  <property fmtid="{D5CDD505-2E9C-101B-9397-08002B2CF9AE}" pid="3" name="MediaServiceImageTags">
    <vt:lpwstr/>
  </property>
</Properties>
</file>